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09600" cy="609600"/>
            <wp:effectExtent t="0" r="0" b="0" l="0"/>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60"/>
        <w:jc w:val="center"/>
      </w:pPr>
      <w:r>
        <w:rPr>
          <w:rFonts w:ascii="Inter" w:cs="Inter" w:eastAsia="Inter" w:hAnsi="Inter"/>
          <w:b/>
          <w:bCs/>
          <w:color w:val="5B636C"/>
          <w:spacing w:val="20"/>
          <w:sz w:val="15"/>
          <w:szCs w:val="15"/>
        </w:rPr>
        <w:t xml:space="preserve">HC BILL 25-4</w:t>
      </w:r>
    </w:p>
    <w:p>
      <w:pPr>
        <w:spacing w:after="60"/>
        <w:jc w:val="center"/>
      </w:pPr>
      <w:r>
        <w:rPr>
          <w:rFonts w:ascii="Inter" w:cs="Inter" w:eastAsia="Inter" w:hAnsi="Inter"/>
          <w:b/>
          <w:bCs/>
          <w:color w:val="14171A"/>
          <w:sz w:val="33"/>
          <w:szCs w:val="33"/>
        </w:rPr>
        <w:t xml:space="preserve">Pilot Infrastructure and Agriculture Grants Act of 2026</w:t>
      </w:r>
    </w:p>
    <w:p>
      <w:pPr>
        <w:spacing w:after="120"/>
        <w:jc w:val="center"/>
      </w:pPr>
      <w:r>
        <w:rPr>
          <w:rFonts w:ascii="Inter" w:cs="Inter" w:eastAsia="Inter" w:hAnsi="Inter"/>
          <w:i/>
          <w:iCs/>
          <w:color w:val="5B636C"/>
          <w:sz w:val="17"/>
          <w:szCs w:val="17"/>
        </w:rPr>
        <w:t xml:space="preserve">An Act to establish temporary pilot public grant funds for public lighting, metro renovation and expansion, blue ice transit construction, and agricultural development; to authorize the transfer of money from the Reserve Fund into dedicated Ministry of Infrastructure grant funds; to regulate grant applications, spending, auditing, material pricing, project direction, and project reporting; and to provide for the expiration, closure, and return of unused grant funds.</w:t>
      </w:r>
    </w:p>
    <w:p>
      <w:pPr>
        <w:spacing w:after="120"/>
        <w:jc w:val="center"/>
      </w:pPr>
      <w:r>
        <w:rPr>
          <w:rFonts w:ascii="Inter" w:cs="Inter" w:eastAsia="Inter" w:hAnsi="Inter"/>
          <w:b/>
          <w:bCs/>
          <w:color w:val="5B636C"/>
          <w:sz w:val="18"/>
          <w:szCs w:val="18"/>
        </w:rPr>
        <w:t xml:space="preserve">BILL · 25TH TOTEMIAN PARLIAMENT</w:t>
      </w:r>
    </w:p>
    <w:p>
      <w:pPr>
        <w:spacing w:after="30"/>
        <w:jc w:val="center"/>
      </w:pPr>
      <w:r>
        <w:rPr>
          <w:rFonts w:ascii="Inter" w:cs="Inter" w:eastAsia="Inter" w:hAnsi="Inter"/>
          <w:b/>
          <w:bCs/>
          <w:color w:val="5B636C"/>
          <w:spacing w:val="20"/>
          <w:sz w:val="14"/>
          <w:szCs w:val="14"/>
        </w:rPr>
        <w:t xml:space="preserve">PRIMARY SPONSOR</w:t>
      </w:r>
    </w:p>
    <w:p>
      <w:pPr>
        <w:spacing w:after="20"/>
        <w:jc w:val="center"/>
      </w:pPr>
      <w:r>
        <w:rPr>
          <w:rFonts w:ascii="Inter" w:cs="Inter" w:eastAsia="Inter" w:hAnsi="Inter"/>
          <w:b/>
          <w:bCs/>
          <w:color w:val="14171A"/>
          <w:sz w:val="20"/>
          <w:szCs w:val="20"/>
        </w:rPr>
        <w:t xml:space="preserve">Nuxart</w:t>
      </w:r>
    </w:p>
    <w:p>
      <w:pPr>
        <w:spacing w:after="110"/>
        <w:jc w:val="center"/>
      </w:pPr>
      <w:r>
        <w:rPr>
          <w:rFonts w:ascii="Inter" w:cs="Inter" w:eastAsia="Inter" w:hAnsi="Inter"/>
          <w:color w:val="5B636C"/>
          <w:sz w:val="16"/>
          <w:szCs w:val="16"/>
        </w:rPr>
        <w:t xml:space="preserve">Member of the House of Commons · Workers' Reformist Party</w:t>
      </w:r>
    </w:p>
    <w:p>
      <w:pPr>
        <w:spacing w:after="300"/>
        <w:jc w:val="center"/>
      </w:pPr>
      <w:r>
        <w:rPr>
          <w:rFonts w:ascii="Inter" w:cs="Inter" w:eastAsia="Inter" w:hAnsi="Inter"/>
          <w:i/>
          <w:iCs/>
          <w:color w:val="5B636C"/>
          <w:sz w:val="17"/>
          <w:szCs w:val="17"/>
        </w:rPr>
        <w:t xml:space="preserve">Introduced June 1st, 2026</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 it enacted by the Emperor’s most Excellent Imperial Majesty, by and with the advice and consent of the Lords and Commons, in this present Parliament assembled, and by the authority of the same, as follows:</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Chapter 1 - General Provisions</w:t>
      </w:r>
    </w:p>
    <w:p>
      <w:pPr>
        <w:pStyle w:val="ListParagraph"/>
        <w:numPr>
          <w:ilvl w:val="0"/>
          <w:numId w:val="2"/>
        </w:numPr>
        <w:spacing w:after="140"/>
        <w:jc w:val="left"/>
      </w:pPr>
      <w:r>
        <w:rPr>
          <w:rFonts w:ascii="Public Sans" w:cs="Public Sans" w:eastAsia="Public Sans" w:hAnsi="Public Sans"/>
          <w:b w:val="false"/>
          <w:bCs w:val="false"/>
          <w:i w:val="false"/>
          <w:iCs w:val="false"/>
          <w:strike w:val="false"/>
          <w:color w:val="14171A"/>
          <w:sz w:val="24"/>
          <w:szCs w:val="24"/>
        </w:rPr>
        <w:t xml:space="preserve">This Act may be cited as the Pilot Infrastructure and Agriculture Grants Act of 2026.</w:t>
      </w:r>
    </w:p>
    <w:p>
      <w:pPr>
        <w:pStyle w:val="ListParagraph"/>
        <w:numPr>
          <w:ilvl w:val="0"/>
          <w:numId w:val="2"/>
        </w:numPr>
        <w:spacing w:after="140"/>
        <w:jc w:val="left"/>
      </w:pPr>
      <w:r>
        <w:rPr>
          <w:rFonts w:ascii="Public Sans" w:cs="Public Sans" w:eastAsia="Public Sans" w:hAnsi="Public Sans"/>
          <w:b w:val="false"/>
          <w:bCs w:val="false"/>
          <w:i w:val="false"/>
          <w:iCs w:val="false"/>
          <w:strike w:val="false"/>
          <w:color w:val="14171A"/>
          <w:sz w:val="24"/>
          <w:szCs w:val="24"/>
        </w:rPr>
        <w:t xml:space="preserve">The purpose of this Act is to create temporary pilot grant programs for infrastructure, transportation, safety, and agricultural development within Totemia and to evaluate whether such grant programs should be expanded in the future.</w:t>
      </w:r>
    </w:p>
    <w:p>
      <w:pPr>
        <w:pStyle w:val="ListParagraph"/>
        <w:numPr>
          <w:ilvl w:val="0"/>
          <w:numId w:val="2"/>
        </w:numPr>
        <w:spacing w:after="140"/>
        <w:jc w:val="left"/>
      </w:pPr>
      <w:r>
        <w:rPr>
          <w:rFonts w:ascii="Public Sans" w:cs="Public Sans" w:eastAsia="Public Sans" w:hAnsi="Public Sans"/>
          <w:b w:val="false"/>
          <w:bCs w:val="false"/>
          <w:i w:val="false"/>
          <w:iCs w:val="false"/>
          <w:strike w:val="false"/>
          <w:color w:val="14171A"/>
          <w:sz w:val="24"/>
          <w:szCs w:val="24"/>
        </w:rPr>
        <w:t xml:space="preserve">The grant programs created under this Act shall be administered through the Ministry of Infrastructure.</w:t>
      </w:r>
    </w:p>
    <w:p>
      <w:pPr>
        <w:pStyle w:val="ListParagraph"/>
        <w:numPr>
          <w:ilvl w:val="0"/>
          <w:numId w:val="2"/>
        </w:numPr>
        <w:spacing w:after="140"/>
        <w:jc w:val="left"/>
      </w:pPr>
      <w:r>
        <w:rPr>
          <w:rFonts w:ascii="Public Sans" w:cs="Public Sans" w:eastAsia="Public Sans" w:hAnsi="Public Sans"/>
          <w:b w:val="false"/>
          <w:bCs w:val="false"/>
          <w:i w:val="false"/>
          <w:iCs w:val="false"/>
          <w:strike w:val="false"/>
          <w:color w:val="14171A"/>
          <w:sz w:val="24"/>
          <w:szCs w:val="24"/>
        </w:rPr>
        <w:t xml:space="preserve">The grant programs created under this Act shall be funded by money transferred from the Reserve Fund into dedicated temporary funds.</w:t>
      </w:r>
    </w:p>
    <w:p>
      <w:pPr>
        <w:pStyle w:val="ListParagraph"/>
        <w:numPr>
          <w:ilvl w:val="0"/>
          <w:numId w:val="2"/>
        </w:numPr>
        <w:spacing w:after="140"/>
        <w:jc w:val="left"/>
      </w:pPr>
      <w:r>
        <w:rPr>
          <w:rFonts w:ascii="Public Sans" w:cs="Public Sans" w:eastAsia="Public Sans" w:hAnsi="Public Sans"/>
          <w:b w:val="false"/>
          <w:bCs w:val="false"/>
          <w:i w:val="false"/>
          <w:iCs w:val="false"/>
          <w:strike w:val="false"/>
          <w:color w:val="14171A"/>
          <w:sz w:val="24"/>
          <w:szCs w:val="24"/>
        </w:rPr>
        <w:t xml:space="preserve">The dedicated temporary funds created under this Act shall be named as follows: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 Blue Ice Grants;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(b) Public Lighting Grants;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 Metro Renovation Grants;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(d) Agriculture Grants.</w:t>
      </w:r>
    </w:p>
    <w:p>
      <w:pPr>
        <w:pStyle w:val="ListParagraph"/>
        <w:numPr>
          <w:ilvl w:val="0"/>
          <w:numId w:val="2"/>
        </w:numPr>
        <w:spacing w:after="140"/>
        <w:jc w:val="left"/>
      </w:pPr>
      <w:r>
        <w:rPr>
          <w:rFonts w:ascii="Public Sans" w:cs="Public Sans" w:eastAsia="Public Sans" w:hAnsi="Public Sans"/>
          <w:b w:val="false"/>
          <w:bCs w:val="false"/>
          <w:i w:val="false"/>
          <w:iCs w:val="false"/>
          <w:strike w:val="false"/>
          <w:color w:val="14171A"/>
          <w:sz w:val="24"/>
          <w:szCs w:val="24"/>
        </w:rPr>
        <w:t xml:space="preserve">These funds shall exist only for the purposes stated in this Act and shall be closed once their funding is exhausted, expired, returned, or the projects are considered closed.</w:t>
      </w:r>
    </w:p>
    <w:p>
      <w:pPr>
        <w:keepNext/>
        <w:spacing w:after="150" w:before="330"/>
        <w:jc w:val="left"/>
      </w:pPr>
      <w:r>
        <w:rPr>
          <w:rFonts w:ascii="Inter" w:cs="Inter" w:eastAsia="Inter" w:hAnsi="Inter"/>
          <w:b/>
          <w:bCs/>
          <w:i w:val="false"/>
          <w:iCs w:val="false"/>
          <w:strike w:val="false"/>
          <w:color w:val="14171A"/>
          <w:sz w:val="33"/>
          <w:szCs w:val="33"/>
        </w:rPr>
        <w:t xml:space="preserve">Chapter 2 - Public Lighting Grant Program</w:t>
      </w:r>
    </w:p>
    <w:p>
      <w:pPr>
        <w:pStyle w:val="ListParagraph"/>
        <w:numPr>
          <w:ilvl w:val="0"/>
          <w:numId w:val="3"/>
        </w:numPr>
        <w:spacing w:after="140"/>
        <w:jc w:val="left"/>
      </w:pPr>
      <w:r>
        <w:rPr>
          <w:rFonts w:ascii="Public Sans" w:cs="Public Sans" w:eastAsia="Public Sans" w:hAnsi="Public Sans"/>
          <w:b w:val="false"/>
          <w:bCs w:val="false"/>
          <w:i w:val="false"/>
          <w:iCs w:val="false"/>
          <w:strike w:val="false"/>
          <w:color w:val="14171A"/>
          <w:sz w:val="24"/>
          <w:szCs w:val="24"/>
        </w:rPr>
        <w:t xml:space="preserve">A Public Lighting Grant Program is hereby established.</w:t>
      </w:r>
    </w:p>
    <w:p>
      <w:pPr>
        <w:pStyle w:val="ListParagraph"/>
        <w:numPr>
          <w:ilvl w:val="0"/>
          <w:numId w:val="3"/>
        </w:numPr>
        <w:spacing w:after="140"/>
        <w:jc w:val="left"/>
      </w:pPr>
      <w:r>
        <w:rPr>
          <w:rFonts w:ascii="Public Sans" w:cs="Public Sans" w:eastAsia="Public Sans" w:hAnsi="Public Sans"/>
          <w:b w:val="false"/>
          <w:bCs w:val="false"/>
          <w:i w:val="false"/>
          <w:iCs w:val="false"/>
          <w:strike w:val="false"/>
          <w:color w:val="14171A"/>
          <w:sz w:val="24"/>
          <w:szCs w:val="24"/>
        </w:rPr>
        <w:t xml:space="preserve">The Public Lighting Grant Program shall have a maximum allocation of five thousand Shillings (5,000 SL).</w:t>
      </w:r>
    </w:p>
    <w:p>
      <w:pPr>
        <w:pStyle w:val="ListParagraph"/>
        <w:numPr>
          <w:ilvl w:val="0"/>
          <w:numId w:val="3"/>
        </w:numPr>
        <w:spacing w:after="140"/>
        <w:jc w:val="left"/>
      </w:pPr>
      <w:r>
        <w:rPr>
          <w:rFonts w:ascii="Public Sans" w:cs="Public Sans" w:eastAsia="Public Sans" w:hAnsi="Public Sans"/>
          <w:b w:val="false"/>
          <w:bCs w:val="false"/>
          <w:i w:val="false"/>
          <w:iCs w:val="false"/>
          <w:strike w:val="false"/>
          <w:color w:val="14171A"/>
          <w:sz w:val="24"/>
          <w:szCs w:val="24"/>
        </w:rPr>
        <w:t xml:space="preserve">The Public Lighting Grant Program shall be used for lighting areas within or near the capital where mobs commonly spawn or where public safety requires lighting improvements.</w:t>
      </w:r>
    </w:p>
    <w:p>
      <w:pPr>
        <w:pStyle w:val="ListParagraph"/>
        <w:numPr>
          <w:ilvl w:val="0"/>
          <w:numId w:val="3"/>
        </w:numPr>
        <w:spacing w:after="140"/>
        <w:jc w:val="left"/>
      </w:pPr>
      <w:r>
        <w:rPr>
          <w:rFonts w:ascii="Public Sans" w:cs="Public Sans" w:eastAsia="Public Sans" w:hAnsi="Public Sans"/>
          <w:b w:val="false"/>
          <w:bCs w:val="false"/>
          <w:i w:val="false"/>
          <w:iCs w:val="false"/>
          <w:strike w:val="false"/>
          <w:color w:val="14171A"/>
          <w:sz w:val="24"/>
          <w:szCs w:val="24"/>
        </w:rPr>
        <w:t xml:space="preserve">Public Lighting Grant funds may be used for:</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 labor costs;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(b) lighting materials;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 supporting materials needed to place or protect lighting;</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(d) purchases of required supplies from the government, where needed.</w:t>
      </w:r>
    </w:p>
    <w:p>
      <w:pPr>
        <w:pStyle w:val="ListParagraph"/>
        <w:numPr>
          <w:ilvl w:val="0"/>
          <w:numId w:val="3"/>
        </w:numPr>
        <w:spacing w:after="140"/>
        <w:jc w:val="left"/>
      </w:pPr>
      <w:r>
        <w:rPr>
          <w:rFonts w:ascii="Public Sans" w:cs="Public Sans" w:eastAsia="Public Sans" w:hAnsi="Public Sans"/>
          <w:b w:val="false"/>
          <w:bCs w:val="false"/>
          <w:i w:val="false"/>
          <w:iCs w:val="false"/>
          <w:strike w:val="false"/>
          <w:color w:val="14171A"/>
          <w:sz w:val="24"/>
          <w:szCs w:val="24"/>
        </w:rPr>
        <w:t xml:space="preserve">Public Lighting Grant funds shall only be used for the purposes listed in this Chapter.</w:t>
      </w:r>
    </w:p>
    <w:p>
      <w:pPr>
        <w:pStyle w:val="ListParagraph"/>
        <w:numPr>
          <w:ilvl w:val="0"/>
          <w:numId w:val="3"/>
        </w:numPr>
        <w:spacing w:after="140"/>
        <w:jc w:val="left"/>
      </w:pPr>
      <w:r>
        <w:rPr>
          <w:rFonts w:ascii="Public Sans" w:cs="Public Sans" w:eastAsia="Public Sans" w:hAnsi="Public Sans"/>
          <w:b w:val="false"/>
          <w:bCs w:val="false"/>
          <w:i w:val="false"/>
          <w:iCs w:val="false"/>
          <w:strike w:val="false"/>
          <w:color w:val="14171A"/>
          <w:sz w:val="24"/>
          <w:szCs w:val="24"/>
        </w:rPr>
        <w:t xml:space="preserve">A person receiving funding under this Chapter must use the funding only for the approved lighting project.</w:t>
      </w:r>
    </w:p>
    <w:p>
      <w:pPr>
        <w:keepNext/>
        <w:spacing w:after="150" w:before="330"/>
        <w:jc w:val="left"/>
      </w:pPr>
      <w:r>
        <w:rPr>
          <w:rFonts w:ascii="Inter" w:cs="Inter" w:eastAsia="Inter" w:hAnsi="Inter"/>
          <w:b/>
          <w:bCs/>
          <w:i w:val="false"/>
          <w:iCs w:val="false"/>
          <w:strike w:val="false"/>
          <w:color w:val="14171A"/>
          <w:sz w:val="33"/>
          <w:szCs w:val="33"/>
        </w:rPr>
        <w:t xml:space="preserve">Chapter 3 - Metro Renovation and Expansion Grant Program</w:t>
      </w:r>
    </w:p>
    <w:p>
      <w:pPr>
        <w:pStyle w:val="ListParagraph"/>
        <w:numPr>
          <w:ilvl w:val="0"/>
          <w:numId w:val="4"/>
        </w:numPr>
        <w:spacing w:after="140"/>
        <w:jc w:val="left"/>
      </w:pPr>
      <w:r>
        <w:rPr>
          <w:rFonts w:ascii="Public Sans" w:cs="Public Sans" w:eastAsia="Public Sans" w:hAnsi="Public Sans"/>
          <w:b w:val="false"/>
          <w:bCs w:val="false"/>
          <w:i w:val="false"/>
          <w:iCs w:val="false"/>
          <w:strike w:val="false"/>
          <w:color w:val="14171A"/>
          <w:sz w:val="24"/>
          <w:szCs w:val="24"/>
        </w:rPr>
        <w:t xml:space="preserve">A Metro Renovation and Expansion Grant Program is hereby established.</w:t>
      </w:r>
    </w:p>
    <w:p>
      <w:pPr>
        <w:pStyle w:val="ListParagraph"/>
        <w:numPr>
          <w:ilvl w:val="0"/>
          <w:numId w:val="4"/>
        </w:numPr>
        <w:spacing w:after="140"/>
        <w:jc w:val="left"/>
      </w:pPr>
      <w:r>
        <w:rPr>
          <w:rFonts w:ascii="Public Sans" w:cs="Public Sans" w:eastAsia="Public Sans" w:hAnsi="Public Sans"/>
          <w:b w:val="false"/>
          <w:bCs w:val="false"/>
          <w:i w:val="false"/>
          <w:iCs w:val="false"/>
          <w:strike w:val="false"/>
          <w:color w:val="14171A"/>
          <w:sz w:val="24"/>
          <w:szCs w:val="24"/>
        </w:rPr>
        <w:t xml:space="preserve">The Metro Renovation and Expansion Grant Program shall have a maximum allocation of twenty-five thousand Shillings (25,000 SL).</w:t>
      </w:r>
    </w:p>
    <w:p>
      <w:pPr>
        <w:pStyle w:val="ListParagraph"/>
        <w:numPr>
          <w:ilvl w:val="0"/>
          <w:numId w:val="4"/>
        </w:numPr>
        <w:spacing w:after="140"/>
        <w:jc w:val="left"/>
      </w:pPr>
      <w:r>
        <w:rPr>
          <w:rFonts w:ascii="Public Sans" w:cs="Public Sans" w:eastAsia="Public Sans" w:hAnsi="Public Sans"/>
          <w:b w:val="false"/>
          <w:bCs w:val="false"/>
          <w:i w:val="false"/>
          <w:iCs w:val="false"/>
          <w:strike w:val="false"/>
          <w:color w:val="14171A"/>
          <w:sz w:val="24"/>
          <w:szCs w:val="24"/>
        </w:rPr>
        <w:t xml:space="preserve">The Metro Renovation and Expansion Grant Program shall be used to improve, repair, beautify, renovate, or expand the metro system.</w:t>
      </w:r>
    </w:p>
    <w:p>
      <w:pPr>
        <w:pStyle w:val="ListParagraph"/>
        <w:numPr>
          <w:ilvl w:val="0"/>
          <w:numId w:val="4"/>
        </w:numPr>
        <w:spacing w:after="140"/>
        <w:jc w:val="left"/>
      </w:pPr>
      <w:r>
        <w:rPr>
          <w:rFonts w:ascii="Public Sans" w:cs="Public Sans" w:eastAsia="Public Sans" w:hAnsi="Public Sans"/>
          <w:b w:val="false"/>
          <w:bCs w:val="false"/>
          <w:i w:val="false"/>
          <w:iCs w:val="false"/>
          <w:strike w:val="false"/>
          <w:color w:val="14171A"/>
          <w:sz w:val="24"/>
          <w:szCs w:val="24"/>
        </w:rPr>
        <w:t xml:space="preserve">Metro Renovation Grant funds may be used for:</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 station safety improvements;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(b) lighting support;</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 station beautification;</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(d) pathway connections to nearby cities or important public areas;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(e) expansion of metro lines;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(f) labor costs;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(g) materials needed for approved metro work;</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(h) purchases of required supplies and tools from the government, where needed.</w:t>
      </w:r>
    </w:p>
    <w:p>
      <w:pPr>
        <w:pStyle w:val="ListParagraph"/>
        <w:numPr>
          <w:ilvl w:val="0"/>
          <w:numId w:val="4"/>
        </w:numPr>
        <w:spacing w:after="140"/>
        <w:jc w:val="left"/>
      </w:pPr>
      <w:r>
        <w:rPr>
          <w:rFonts w:ascii="Public Sans" w:cs="Public Sans" w:eastAsia="Public Sans" w:hAnsi="Public Sans"/>
          <w:b w:val="false"/>
          <w:bCs w:val="false"/>
          <w:i w:val="false"/>
          <w:iCs w:val="false"/>
          <w:strike w:val="false"/>
          <w:color w:val="14171A"/>
          <w:sz w:val="24"/>
          <w:szCs w:val="24"/>
        </w:rPr>
        <w:t xml:space="preserve">A person receiving funding under this Chapter must use the funding only for the approved metro renovation, improvement, connection, or expansion project.</w:t>
      </w:r>
    </w:p>
    <w:p>
      <w:pPr>
        <w:keepNext/>
        <w:spacing w:after="150" w:before="330"/>
        <w:jc w:val="left"/>
      </w:pPr>
      <w:r>
        <w:rPr>
          <w:rFonts w:ascii="Inter" w:cs="Inter" w:eastAsia="Inter" w:hAnsi="Inter"/>
          <w:b/>
          <w:bCs/>
          <w:i w:val="false"/>
          <w:iCs w:val="false"/>
          <w:strike w:val="false"/>
          <w:color w:val="14171A"/>
          <w:sz w:val="33"/>
          <w:szCs w:val="33"/>
        </w:rPr>
        <w:t xml:space="preserve">Chapter 4 - Blue Ice Transit System Grant Program</w:t>
      </w:r>
    </w:p>
    <w:p>
      <w:pPr>
        <w:pStyle w:val="ListParagraph"/>
        <w:numPr>
          <w:ilvl w:val="0"/>
          <w:numId w:val="5"/>
        </w:numPr>
        <w:spacing w:after="140"/>
        <w:jc w:val="left"/>
      </w:pPr>
      <w:r>
        <w:rPr>
          <w:rFonts w:ascii="Public Sans" w:cs="Public Sans" w:eastAsia="Public Sans" w:hAnsi="Public Sans"/>
          <w:b w:val="false"/>
          <w:bCs w:val="false"/>
          <w:i w:val="false"/>
          <w:iCs w:val="false"/>
          <w:strike w:val="false"/>
          <w:color w:val="14171A"/>
          <w:sz w:val="24"/>
          <w:szCs w:val="24"/>
        </w:rPr>
        <w:t xml:space="preserve">A Blue Ice Transit System Grant Program is hereby established.</w:t>
      </w:r>
    </w:p>
    <w:p>
      <w:pPr>
        <w:pStyle w:val="ListParagraph"/>
        <w:numPr>
          <w:ilvl w:val="0"/>
          <w:numId w:val="5"/>
        </w:numPr>
        <w:spacing w:after="140"/>
        <w:jc w:val="left"/>
      </w:pPr>
      <w:r>
        <w:rPr>
          <w:rFonts w:ascii="Public Sans" w:cs="Public Sans" w:eastAsia="Public Sans" w:hAnsi="Public Sans"/>
          <w:b w:val="false"/>
          <w:bCs w:val="false"/>
          <w:i w:val="false"/>
          <w:iCs w:val="false"/>
          <w:strike w:val="false"/>
          <w:color w:val="14171A"/>
          <w:sz w:val="24"/>
          <w:szCs w:val="24"/>
        </w:rPr>
        <w:t xml:space="preserve">The Blue Ice Transit System Grant Program shall have a maximum allocation of fifty thousand Shillings (50,000 SL).</w:t>
      </w:r>
    </w:p>
    <w:p>
      <w:pPr>
        <w:pStyle w:val="ListParagraph"/>
        <w:numPr>
          <w:ilvl w:val="0"/>
          <w:numId w:val="5"/>
        </w:numPr>
        <w:spacing w:after="140"/>
        <w:jc w:val="left"/>
      </w:pPr>
      <w:r>
        <w:rPr>
          <w:rFonts w:ascii="Public Sans" w:cs="Public Sans" w:eastAsia="Public Sans" w:hAnsi="Public Sans"/>
          <w:b w:val="false"/>
          <w:bCs w:val="false"/>
          <w:i w:val="false"/>
          <w:iCs w:val="false"/>
          <w:strike w:val="false"/>
          <w:color w:val="14171A"/>
          <w:sz w:val="24"/>
          <w:szCs w:val="24"/>
        </w:rPr>
        <w:t xml:space="preserve">The Blue Ice Transit System Grant Program shall be used for the creation, expansion, and development of an above-ground blue ice transit system.</w:t>
      </w:r>
    </w:p>
    <w:p>
      <w:pPr>
        <w:pStyle w:val="ListParagraph"/>
        <w:numPr>
          <w:ilvl w:val="0"/>
          <w:numId w:val="5"/>
        </w:numPr>
        <w:spacing w:after="140"/>
        <w:jc w:val="left"/>
      </w:pPr>
      <w:r>
        <w:rPr>
          <w:rFonts w:ascii="Public Sans" w:cs="Public Sans" w:eastAsia="Public Sans" w:hAnsi="Public Sans"/>
          <w:b w:val="false"/>
          <w:bCs w:val="false"/>
          <w:i w:val="false"/>
          <w:iCs w:val="false"/>
          <w:strike w:val="false"/>
          <w:color w:val="14171A"/>
          <w:sz w:val="24"/>
          <w:szCs w:val="24"/>
        </w:rPr>
        <w:t xml:space="preserve">Blue Ice Grant funds may be used for:</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 above-ground station construction;</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(b) bridges;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 tunnels;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(d) blue ice placement;</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(e) pathway connections to nearby cities or public areas;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(f) labor costs;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(g) materials needed for approved blue ice transit work;</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(h) purchases of required supplies from the government, where needed.</w:t>
      </w:r>
    </w:p>
    <w:p>
      <w:pPr>
        <w:pStyle w:val="ListParagraph"/>
        <w:numPr>
          <w:ilvl w:val="0"/>
          <w:numId w:val="5"/>
        </w:numPr>
        <w:spacing w:after="140"/>
        <w:jc w:val="left"/>
      </w:pPr>
      <w:r>
        <w:rPr>
          <w:rFonts w:ascii="Public Sans" w:cs="Public Sans" w:eastAsia="Public Sans" w:hAnsi="Public Sans"/>
          <w:b w:val="false"/>
          <w:bCs w:val="false"/>
          <w:i w:val="false"/>
          <w:iCs w:val="false"/>
          <w:strike w:val="false"/>
          <w:color w:val="14171A"/>
          <w:sz w:val="24"/>
          <w:szCs w:val="24"/>
        </w:rPr>
        <w:t xml:space="preserve">If a continuous blue ice line is built, the line must remain on the same Y-level at all points and no deviations, exceptions, or changes in elevation shall be permitted.</w:t>
      </w:r>
    </w:p>
    <w:p>
      <w:pPr>
        <w:pStyle w:val="ListParagraph"/>
        <w:numPr>
          <w:ilvl w:val="0"/>
          <w:numId w:val="5"/>
        </w:numPr>
        <w:spacing w:after="140"/>
        <w:jc w:val="left"/>
      </w:pPr>
      <w:r>
        <w:rPr>
          <w:rFonts w:ascii="Public Sans" w:cs="Public Sans" w:eastAsia="Public Sans" w:hAnsi="Public Sans"/>
          <w:b w:val="false"/>
          <w:bCs w:val="false"/>
          <w:i w:val="false"/>
          <w:iCs w:val="false"/>
          <w:strike w:val="false"/>
          <w:color w:val="14171A"/>
          <w:sz w:val="24"/>
          <w:szCs w:val="24"/>
        </w:rPr>
        <w:t xml:space="preserve">Stations must be built first before the main continuous line is considered complete.</w:t>
      </w:r>
    </w:p>
    <w:p>
      <w:pPr>
        <w:pStyle w:val="ListParagraph"/>
        <w:numPr>
          <w:ilvl w:val="0"/>
          <w:numId w:val="5"/>
        </w:numPr>
        <w:spacing w:after="140"/>
        <w:jc w:val="left"/>
      </w:pPr>
      <w:r>
        <w:rPr>
          <w:rFonts w:ascii="Public Sans" w:cs="Public Sans" w:eastAsia="Public Sans" w:hAnsi="Public Sans"/>
          <w:b w:val="false"/>
          <w:bCs w:val="false"/>
          <w:i w:val="false"/>
          <w:iCs w:val="false"/>
          <w:strike w:val="false"/>
          <w:color w:val="14171A"/>
          <w:sz w:val="24"/>
          <w:szCs w:val="24"/>
        </w:rPr>
        <w:t xml:space="preserve">Every station must be made reasonably safe for public use.</w:t>
      </w:r>
    </w:p>
    <w:p>
      <w:pPr>
        <w:pStyle w:val="ListParagraph"/>
        <w:numPr>
          <w:ilvl w:val="0"/>
          <w:numId w:val="5"/>
        </w:numPr>
        <w:spacing w:after="140"/>
        <w:jc w:val="left"/>
      </w:pPr>
      <w:r>
        <w:rPr>
          <w:rFonts w:ascii="Public Sans" w:cs="Public Sans" w:eastAsia="Public Sans" w:hAnsi="Public Sans"/>
          <w:b w:val="false"/>
          <w:bCs w:val="false"/>
          <w:i w:val="false"/>
          <w:iCs w:val="false"/>
          <w:strike w:val="false"/>
          <w:color w:val="14171A"/>
          <w:sz w:val="24"/>
          <w:szCs w:val="24"/>
        </w:rPr>
        <w:t xml:space="preserve">Station safety shall include:</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 proper pathway connection to the nearest city, settlement, road, station, or public access point where reasonable;</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(b) lighting protection within fifty (50) blocks from the center of the station to reduce mob spawning;</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 gates or barriers to prevent accidental falls;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(d) signs where needed to identify stations, routes, directions, or warnings;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(e) safe access points for entering and leaving the station.</w:t>
      </w:r>
    </w:p>
    <w:p>
      <w:pPr>
        <w:pStyle w:val="ListParagraph"/>
        <w:numPr>
          <w:ilvl w:val="0"/>
          <w:numId w:val="5"/>
        </w:numPr>
        <w:spacing w:after="140"/>
        <w:jc w:val="left"/>
      </w:pPr>
      <w:r>
        <w:rPr>
          <w:rFonts w:ascii="Public Sans" w:cs="Public Sans" w:eastAsia="Public Sans" w:hAnsi="Public Sans"/>
          <w:b w:val="false"/>
          <w:bCs w:val="false"/>
          <w:i w:val="false"/>
          <w:iCs w:val="false"/>
          <w:strike w:val="false"/>
          <w:color w:val="14171A"/>
          <w:sz w:val="24"/>
          <w:szCs w:val="24"/>
        </w:rPr>
        <w:t xml:space="preserve">If a station is built as part of a fully continuous blue ice path, the station must include a reasonable slowing or stopping design.</w:t>
      </w:r>
    </w:p>
    <w:p>
      <w:pPr>
        <w:pStyle w:val="ListParagraph"/>
        <w:numPr>
          <w:ilvl w:val="0"/>
          <w:numId w:val="5"/>
        </w:numPr>
        <w:spacing w:after="140"/>
        <w:jc w:val="left"/>
      </w:pPr>
      <w:r>
        <w:rPr>
          <w:rFonts w:ascii="Public Sans" w:cs="Public Sans" w:eastAsia="Public Sans" w:hAnsi="Public Sans"/>
          <w:b w:val="false"/>
          <w:bCs w:val="false"/>
          <w:i w:val="false"/>
          <w:iCs w:val="false"/>
          <w:strike w:val="false"/>
          <w:color w:val="14171A"/>
          <w:sz w:val="24"/>
          <w:szCs w:val="24"/>
        </w:rPr>
        <w:t xml:space="preserve">A slowing or stopping design may include water, golden pressure plates, signs, gates, or other reasonable station-control materials.</w:t>
      </w:r>
    </w:p>
    <w:p>
      <w:pPr>
        <w:pStyle w:val="ListParagraph"/>
        <w:numPr>
          <w:ilvl w:val="0"/>
          <w:numId w:val="5"/>
        </w:numPr>
        <w:spacing w:after="140"/>
        <w:jc w:val="left"/>
      </w:pPr>
      <w:r>
        <w:rPr>
          <w:rFonts w:ascii="Public Sans" w:cs="Public Sans" w:eastAsia="Public Sans" w:hAnsi="Public Sans"/>
          <w:b w:val="false"/>
          <w:bCs w:val="false"/>
          <w:i w:val="false"/>
          <w:iCs w:val="false"/>
          <w:strike w:val="false"/>
          <w:color w:val="14171A"/>
          <w:sz w:val="24"/>
          <w:szCs w:val="24"/>
        </w:rPr>
        <w:t xml:space="preserve">Buttons must be placed on top of blue ice where needed to prevent mob spawning on the transit line.</w:t>
      </w:r>
    </w:p>
    <w:p>
      <w:pPr>
        <w:pStyle w:val="ListParagraph"/>
        <w:numPr>
          <w:ilvl w:val="0"/>
          <w:numId w:val="5"/>
        </w:numPr>
        <w:spacing w:after="140"/>
        <w:jc w:val="left"/>
      </w:pPr>
      <w:r>
        <w:rPr>
          <w:rFonts w:ascii="Public Sans" w:cs="Public Sans" w:eastAsia="Public Sans" w:hAnsi="Public Sans"/>
          <w:b w:val="false"/>
          <w:bCs w:val="false"/>
          <w:i w:val="false"/>
          <w:iCs w:val="false"/>
          <w:strike w:val="false"/>
          <w:color w:val="14171A"/>
          <w:sz w:val="24"/>
          <w:szCs w:val="24"/>
        </w:rPr>
        <w:t xml:space="preserve">The blue ice line must be covered with reasonable lighting protection to reduce mob spawning along the route.</w:t>
      </w:r>
    </w:p>
    <w:p>
      <w:pPr>
        <w:pStyle w:val="ListParagraph"/>
        <w:numPr>
          <w:ilvl w:val="0"/>
          <w:numId w:val="5"/>
        </w:numPr>
        <w:spacing w:after="140"/>
        <w:jc w:val="left"/>
      </w:pPr>
      <w:r>
        <w:rPr>
          <w:rFonts w:ascii="Public Sans" w:cs="Public Sans" w:eastAsia="Public Sans" w:hAnsi="Public Sans"/>
          <w:b w:val="false"/>
          <w:bCs w:val="false"/>
          <w:i w:val="false"/>
          <w:iCs w:val="false"/>
          <w:strike w:val="false"/>
          <w:color w:val="14171A"/>
          <w:sz w:val="24"/>
          <w:szCs w:val="24"/>
        </w:rPr>
        <w:t xml:space="preserve">A person receiving funding under this Chapter must use the funding only for the approved blue ice transit project.</w:t>
      </w:r>
    </w:p>
    <w:p>
      <w:pPr>
        <w:keepNext/>
        <w:spacing w:after="150" w:before="330"/>
        <w:jc w:val="left"/>
      </w:pPr>
      <w:r>
        <w:rPr>
          <w:rFonts w:ascii="Inter" w:cs="Inter" w:eastAsia="Inter" w:hAnsi="Inter"/>
          <w:b/>
          <w:bCs/>
          <w:i w:val="false"/>
          <w:iCs w:val="false"/>
          <w:strike w:val="false"/>
          <w:color w:val="14171A"/>
          <w:sz w:val="33"/>
          <w:szCs w:val="33"/>
        </w:rPr>
        <w:t xml:space="preserve">Chapter 5 - Agriculture Grant Program</w:t>
      </w:r>
    </w:p>
    <w:p>
      <w:pPr>
        <w:pStyle w:val="ListParagraph"/>
        <w:numPr>
          <w:ilvl w:val="0"/>
          <w:numId w:val="6"/>
        </w:numPr>
        <w:spacing w:after="140"/>
        <w:jc w:val="left"/>
      </w:pPr>
      <w:r>
        <w:rPr>
          <w:rFonts w:ascii="Public Sans" w:cs="Public Sans" w:eastAsia="Public Sans" w:hAnsi="Public Sans"/>
          <w:b w:val="false"/>
          <w:bCs w:val="false"/>
          <w:i w:val="false"/>
          <w:iCs w:val="false"/>
          <w:strike w:val="false"/>
          <w:color w:val="14171A"/>
          <w:sz w:val="24"/>
          <w:szCs w:val="24"/>
        </w:rPr>
        <w:t xml:space="preserve">An Agriculture Grant Program is hereby established.</w:t>
      </w:r>
    </w:p>
    <w:p>
      <w:pPr>
        <w:pStyle w:val="ListParagraph"/>
        <w:numPr>
          <w:ilvl w:val="0"/>
          <w:numId w:val="6"/>
        </w:numPr>
        <w:spacing w:after="140"/>
        <w:jc w:val="left"/>
      </w:pPr>
      <w:r>
        <w:rPr>
          <w:rFonts w:ascii="Public Sans" w:cs="Public Sans" w:eastAsia="Public Sans" w:hAnsi="Public Sans"/>
          <w:b w:val="false"/>
          <w:bCs w:val="false"/>
          <w:i w:val="false"/>
          <w:iCs w:val="false"/>
          <w:strike w:val="false"/>
          <w:color w:val="14171A"/>
          <w:sz w:val="24"/>
          <w:szCs w:val="24"/>
        </w:rPr>
        <w:t xml:space="preserve">The Agriculture Grant Program shall have a maximum allocation of thirteen thousand Shillings (13,000 SL).</w:t>
      </w:r>
    </w:p>
    <w:p>
      <w:pPr>
        <w:pStyle w:val="ListParagraph"/>
        <w:numPr>
          <w:ilvl w:val="0"/>
          <w:numId w:val="6"/>
        </w:numPr>
        <w:spacing w:after="140"/>
        <w:jc w:val="left"/>
      </w:pPr>
      <w:r>
        <w:rPr>
          <w:rFonts w:ascii="Public Sans" w:cs="Public Sans" w:eastAsia="Public Sans" w:hAnsi="Public Sans"/>
          <w:b w:val="false"/>
          <w:bCs w:val="false"/>
          <w:i w:val="false"/>
          <w:iCs w:val="false"/>
          <w:strike w:val="false"/>
          <w:color w:val="14171A"/>
          <w:sz w:val="24"/>
          <w:szCs w:val="24"/>
        </w:rPr>
        <w:t xml:space="preserve">The Agriculture Grant Program shall be used to support farms, farming projects, agricultural development, and the growth of communities.</w:t>
      </w:r>
    </w:p>
    <w:p>
      <w:pPr>
        <w:pStyle w:val="ListParagraph"/>
        <w:numPr>
          <w:ilvl w:val="0"/>
          <w:numId w:val="6"/>
        </w:numPr>
        <w:spacing w:after="140"/>
        <w:jc w:val="left"/>
      </w:pPr>
      <w:r>
        <w:rPr>
          <w:rFonts w:ascii="Public Sans" w:cs="Public Sans" w:eastAsia="Public Sans" w:hAnsi="Public Sans"/>
          <w:b w:val="false"/>
          <w:bCs w:val="false"/>
          <w:i w:val="false"/>
          <w:iCs w:val="false"/>
          <w:strike w:val="false"/>
          <w:color w:val="14171A"/>
          <w:sz w:val="24"/>
          <w:szCs w:val="24"/>
        </w:rPr>
        <w:t xml:space="preserve">Preference and expedited review may be given to Agriculture Grant applications that:</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 support new communities or developing communities;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(b) expand agricultural capacity within growing settlements;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 introduce semi-automatic crop farming designs;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(d) improve agricultural efficiency, output, sustainability, or food access.</w:t>
      </w:r>
    </w:p>
    <w:p>
      <w:pPr>
        <w:pStyle w:val="ListParagraph"/>
        <w:numPr>
          <w:ilvl w:val="0"/>
          <w:numId w:val="6"/>
        </w:numPr>
        <w:spacing w:after="140"/>
        <w:jc w:val="left"/>
      </w:pPr>
      <w:r>
        <w:rPr>
          <w:rFonts w:ascii="Public Sans" w:cs="Public Sans" w:eastAsia="Public Sans" w:hAnsi="Public Sans"/>
          <w:b w:val="false"/>
          <w:bCs w:val="false"/>
          <w:i w:val="false"/>
          <w:iCs w:val="false"/>
          <w:strike w:val="false"/>
          <w:color w:val="14171A"/>
          <w:sz w:val="24"/>
          <w:szCs w:val="24"/>
        </w:rPr>
        <w:t xml:space="preserve">Agriculture Grant funds may be used for:</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 bone blocks;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(b) hoes;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 shovels;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(d) seeds;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(e) sugar cane;</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(f) fences;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(g) gates;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(h) building materials;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(i) redstone materials for farm automation;</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(j) labor costs;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(k) purchases of required supplies from the government, where needed.</w:t>
      </w:r>
    </w:p>
    <w:p>
      <w:pPr>
        <w:pStyle w:val="ListParagraph"/>
        <w:numPr>
          <w:ilvl w:val="0"/>
          <w:numId w:val="6"/>
        </w:numPr>
        <w:spacing w:after="140"/>
        <w:jc w:val="left"/>
      </w:pPr>
      <w:r>
        <w:rPr>
          <w:rFonts w:ascii="Public Sans" w:cs="Public Sans" w:eastAsia="Public Sans" w:hAnsi="Public Sans"/>
          <w:b w:val="false"/>
          <w:bCs w:val="false"/>
          <w:i w:val="false"/>
          <w:iCs w:val="false"/>
          <w:strike w:val="false"/>
          <w:color w:val="14171A"/>
          <w:sz w:val="24"/>
          <w:szCs w:val="24"/>
        </w:rPr>
        <w:t xml:space="preserve">Semi-automatic farming projects supported under this Chapter may include redstone-assisted harvesting, collection systems, crop cycling systems, or other designs that reduce manual labor while maintaining player involvement.</w:t>
      </w:r>
    </w:p>
    <w:p>
      <w:pPr>
        <w:pStyle w:val="ListParagraph"/>
        <w:numPr>
          <w:ilvl w:val="0"/>
          <w:numId w:val="6"/>
        </w:numPr>
        <w:spacing w:after="140"/>
        <w:jc w:val="left"/>
      </w:pPr>
      <w:r>
        <w:rPr>
          <w:rFonts w:ascii="Public Sans" w:cs="Public Sans" w:eastAsia="Public Sans" w:hAnsi="Public Sans"/>
          <w:b w:val="false"/>
          <w:bCs w:val="false"/>
          <w:i w:val="false"/>
          <w:iCs w:val="false"/>
          <w:strike w:val="false"/>
          <w:color w:val="14171A"/>
          <w:sz w:val="24"/>
          <w:szCs w:val="24"/>
        </w:rPr>
        <w:t xml:space="preserve">Any applicant seeking funding under this Chapter must provide a short project statement explaining:</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 what the funding will be used for;</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(b) what type of farm or agricultural project is planned;</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 whether the project supports a new or developing community;</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(d) whether semi-automatic systems or automation features will be used.</w:t>
      </w:r>
    </w:p>
    <w:p>
      <w:pPr>
        <w:pStyle w:val="ListParagraph"/>
        <w:numPr>
          <w:ilvl w:val="0"/>
          <w:numId w:val="6"/>
        </w:numPr>
        <w:spacing w:after="140"/>
        <w:jc w:val="left"/>
      </w:pPr>
      <w:r>
        <w:rPr>
          <w:rFonts w:ascii="Public Sans" w:cs="Public Sans" w:eastAsia="Public Sans" w:hAnsi="Public Sans"/>
          <w:b w:val="false"/>
          <w:bCs w:val="false"/>
          <w:i w:val="false"/>
          <w:iCs w:val="false"/>
          <w:strike w:val="false"/>
          <w:color w:val="14171A"/>
          <w:sz w:val="24"/>
          <w:szCs w:val="24"/>
        </w:rPr>
        <w:t xml:space="preserve">A person receiving funding under this Chapter must use the funding only for the approved agricultural project.</w:t>
      </w:r>
    </w:p>
    <w:p>
      <w:pPr>
        <w:keepNext/>
        <w:spacing w:after="150" w:before="330"/>
        <w:jc w:val="left"/>
      </w:pPr>
      <w:r>
        <w:rPr>
          <w:rFonts w:ascii="Inter" w:cs="Inter" w:eastAsia="Inter" w:hAnsi="Inter"/>
          <w:b/>
          <w:bCs/>
          <w:i w:val="false"/>
          <w:iCs w:val="false"/>
          <w:strike w:val="false"/>
          <w:color w:val="14171A"/>
          <w:sz w:val="33"/>
          <w:szCs w:val="33"/>
        </w:rPr>
        <w:t xml:space="preserve">Chapter 6 - Grant Applications and Website Transfers</w:t>
      </w:r>
    </w:p>
    <w:p>
      <w:pPr>
        <w:pStyle w:val="ListParagraph"/>
        <w:numPr>
          <w:ilvl w:val="0"/>
          <w:numId w:val="7"/>
        </w:numPr>
        <w:spacing w:after="140"/>
        <w:jc w:val="left"/>
      </w:pPr>
      <w:r>
        <w:rPr>
          <w:rFonts w:ascii="Public Sans" w:cs="Public Sans" w:eastAsia="Public Sans" w:hAnsi="Public Sans"/>
          <w:b w:val="false"/>
          <w:bCs w:val="false"/>
          <w:i w:val="false"/>
          <w:iCs w:val="false"/>
          <w:strike w:val="false"/>
          <w:color w:val="14171A"/>
          <w:sz w:val="24"/>
          <w:szCs w:val="24"/>
        </w:rPr>
        <w:t xml:space="preserve">Any person applying for grant funding under this Act must be registered on the official website.</w:t>
      </w:r>
    </w:p>
    <w:p>
      <w:pPr>
        <w:pStyle w:val="ListParagraph"/>
        <w:numPr>
          <w:ilvl w:val="0"/>
          <w:numId w:val="7"/>
        </w:numPr>
        <w:spacing w:after="140"/>
        <w:jc w:val="left"/>
      </w:pPr>
      <w:r>
        <w:rPr>
          <w:rFonts w:ascii="Public Sans" w:cs="Public Sans" w:eastAsia="Public Sans" w:hAnsi="Public Sans"/>
          <w:b w:val="false"/>
          <w:bCs w:val="false"/>
          <w:i w:val="false"/>
          <w:iCs w:val="false"/>
          <w:strike w:val="false"/>
          <w:color w:val="14171A"/>
          <w:sz w:val="24"/>
          <w:szCs w:val="24"/>
        </w:rPr>
        <w:t xml:space="preserve">Grant funding shall only be transferred through the official website.</w:t>
      </w:r>
    </w:p>
    <w:p>
      <w:pPr>
        <w:pStyle w:val="ListParagraph"/>
        <w:numPr>
          <w:ilvl w:val="0"/>
          <w:numId w:val="7"/>
        </w:numPr>
        <w:spacing w:after="140"/>
        <w:jc w:val="left"/>
      </w:pPr>
      <w:r>
        <w:rPr>
          <w:rFonts w:ascii="Public Sans" w:cs="Public Sans" w:eastAsia="Public Sans" w:hAnsi="Public Sans"/>
          <w:b w:val="false"/>
          <w:bCs w:val="false"/>
          <w:i w:val="false"/>
          <w:iCs w:val="false"/>
          <w:strike w:val="false"/>
          <w:color w:val="14171A"/>
          <w:sz w:val="24"/>
          <w:szCs w:val="24"/>
        </w:rPr>
        <w:t xml:space="preserve">Grant funding must be transferred through the website for auditing, permission control, and recordkeeping purposes.</w:t>
      </w:r>
    </w:p>
    <w:p>
      <w:pPr>
        <w:pStyle w:val="ListParagraph"/>
        <w:numPr>
          <w:ilvl w:val="0"/>
          <w:numId w:val="7"/>
        </w:numPr>
        <w:spacing w:after="140"/>
        <w:jc w:val="left"/>
      </w:pPr>
      <w:r>
        <w:rPr>
          <w:rFonts w:ascii="Public Sans" w:cs="Public Sans" w:eastAsia="Public Sans" w:hAnsi="Public Sans"/>
          <w:b w:val="false"/>
          <w:bCs w:val="false"/>
          <w:i w:val="false"/>
          <w:iCs w:val="false"/>
          <w:strike w:val="false"/>
          <w:color w:val="14171A"/>
          <w:sz w:val="24"/>
          <w:szCs w:val="24"/>
        </w:rPr>
        <w:t xml:space="preserve">A grant applicant must provide a basic cost breakdown when requesting funding.</w:t>
      </w:r>
    </w:p>
    <w:p>
      <w:pPr>
        <w:pStyle w:val="ListParagraph"/>
        <w:numPr>
          <w:ilvl w:val="0"/>
          <w:numId w:val="7"/>
        </w:numPr>
        <w:spacing w:after="140"/>
        <w:jc w:val="left"/>
      </w:pPr>
      <w:r>
        <w:rPr>
          <w:rFonts w:ascii="Public Sans" w:cs="Public Sans" w:eastAsia="Public Sans" w:hAnsi="Public Sans"/>
          <w:b w:val="false"/>
          <w:bCs w:val="false"/>
          <w:i w:val="false"/>
          <w:iCs w:val="false"/>
          <w:strike w:val="false"/>
          <w:color w:val="14171A"/>
          <w:sz w:val="24"/>
          <w:szCs w:val="24"/>
        </w:rPr>
        <w:t xml:space="preserve">The cost breakdown must include, at minimum:</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 labor costs;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(b) material costs;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 any government-purchased supply costs, where applicable.</w:t>
      </w:r>
    </w:p>
    <w:p>
      <w:pPr>
        <w:pStyle w:val="ListParagraph"/>
        <w:numPr>
          <w:ilvl w:val="0"/>
          <w:numId w:val="7"/>
        </w:numPr>
        <w:spacing w:after="140"/>
        <w:jc w:val="left"/>
      </w:pPr>
      <w:r>
        <w:rPr>
          <w:rFonts w:ascii="Public Sans" w:cs="Public Sans" w:eastAsia="Public Sans" w:hAnsi="Public Sans"/>
          <w:b w:val="false"/>
          <w:bCs w:val="false"/>
          <w:i w:val="false"/>
          <w:iCs w:val="false"/>
          <w:strike w:val="false"/>
          <w:color w:val="14171A"/>
          <w:sz w:val="24"/>
          <w:szCs w:val="24"/>
        </w:rPr>
        <w:t xml:space="preserve">The cost breakdown does not need to be overly detailed, but it must be clear enough for the government to understand how the requested funding will be used.</w:t>
      </w:r>
    </w:p>
    <w:p>
      <w:pPr>
        <w:pStyle w:val="ListParagraph"/>
        <w:numPr>
          <w:ilvl w:val="0"/>
          <w:numId w:val="7"/>
        </w:numPr>
        <w:spacing w:after="140"/>
        <w:jc w:val="left"/>
      </w:pPr>
      <w:r>
        <w:rPr>
          <w:rFonts w:ascii="Public Sans" w:cs="Public Sans" w:eastAsia="Public Sans" w:hAnsi="Public Sans"/>
          <w:b w:val="false"/>
          <w:bCs w:val="false"/>
          <w:i w:val="false"/>
          <w:iCs w:val="false"/>
          <w:strike w:val="false"/>
          <w:color w:val="14171A"/>
          <w:sz w:val="24"/>
          <w:szCs w:val="24"/>
        </w:rPr>
        <w:t xml:space="preserve">A grant applicant may only receive funding for a project that falls within one of the grant programs established by this Act.</w:t>
      </w:r>
    </w:p>
    <w:p>
      <w:pPr>
        <w:pStyle w:val="ListParagraph"/>
        <w:numPr>
          <w:ilvl w:val="0"/>
          <w:numId w:val="7"/>
        </w:numPr>
        <w:spacing w:after="140"/>
        <w:jc w:val="left"/>
      </w:pPr>
      <w:r>
        <w:rPr>
          <w:rFonts w:ascii="Public Sans" w:cs="Public Sans" w:eastAsia="Public Sans" w:hAnsi="Public Sans"/>
          <w:b w:val="false"/>
          <w:bCs w:val="false"/>
          <w:i w:val="false"/>
          <w:iCs w:val="false"/>
          <w:strike w:val="false"/>
          <w:color w:val="14171A"/>
          <w:sz w:val="24"/>
          <w:szCs w:val="24"/>
        </w:rPr>
        <w:t xml:space="preserve">Grant funding shall not be used for private spending, unrelated purchases, personal enrichment, or any purpose outside the approved project.</w:t>
      </w:r>
    </w:p>
    <w:p>
      <w:pPr>
        <w:keepNext/>
        <w:spacing w:after="150" w:before="330"/>
        <w:jc w:val="left"/>
      </w:pPr>
      <w:r>
        <w:rPr>
          <w:rFonts w:ascii="Inter" w:cs="Inter" w:eastAsia="Inter" w:hAnsi="Inter"/>
          <w:b/>
          <w:bCs/>
          <w:i w:val="false"/>
          <w:iCs w:val="false"/>
          <w:strike w:val="false"/>
          <w:color w:val="14171A"/>
          <w:sz w:val="33"/>
          <w:szCs w:val="33"/>
        </w:rPr>
        <w:t xml:space="preserve">Chapter 7 - Material Pricing and Commerce Records</w:t>
      </w:r>
    </w:p>
    <w:p>
      <w:pPr>
        <w:pStyle w:val="ListParagraph"/>
        <w:numPr>
          <w:ilvl w:val="0"/>
          <w:numId w:val="8"/>
        </w:numPr>
        <w:spacing w:after="140"/>
        <w:jc w:val="left"/>
      </w:pPr>
      <w:r>
        <w:rPr>
          <w:rFonts w:ascii="Public Sans" w:cs="Public Sans" w:eastAsia="Public Sans" w:hAnsi="Public Sans"/>
          <w:b w:val="false"/>
          <w:bCs w:val="false"/>
          <w:i w:val="false"/>
          <w:iCs w:val="false"/>
          <w:strike w:val="false"/>
          <w:color w:val="14171A"/>
          <w:sz w:val="24"/>
          <w:szCs w:val="24"/>
        </w:rPr>
        <w:t xml:space="preserve">All material costs for projects funded under this Act must follow the prices set forth in the Imperial Stock spreadsheet.</w:t>
      </w:r>
    </w:p>
    <w:p>
      <w:pPr>
        <w:pStyle w:val="ListParagraph"/>
        <w:numPr>
          <w:ilvl w:val="0"/>
          <w:numId w:val="8"/>
        </w:numPr>
        <w:spacing w:after="140"/>
        <w:jc w:val="left"/>
      </w:pPr>
      <w:r>
        <w:rPr>
          <w:rFonts w:ascii="Public Sans" w:cs="Public Sans" w:eastAsia="Public Sans" w:hAnsi="Public Sans"/>
          <w:b w:val="false"/>
          <w:bCs w:val="false"/>
          <w:i w:val="false"/>
          <w:iCs w:val="false"/>
          <w:strike w:val="false"/>
          <w:color w:val="14171A"/>
          <w:sz w:val="24"/>
          <w:szCs w:val="24"/>
        </w:rPr>
        <w:t xml:space="preserve">For any stackable material listed in the Imperial Stock spreadsheet, the listed price shall be interpreted and applied as the price per full stack of that material unless expressly stated otherwise.</w:t>
      </w:r>
    </w:p>
    <w:p>
      <w:pPr>
        <w:pStyle w:val="ListParagraph"/>
        <w:numPr>
          <w:ilvl w:val="0"/>
          <w:numId w:val="8"/>
        </w:numPr>
        <w:spacing w:after="140"/>
        <w:jc w:val="left"/>
      </w:pPr>
      <w:r>
        <w:rPr>
          <w:rFonts w:ascii="Public Sans" w:cs="Public Sans" w:eastAsia="Public Sans" w:hAnsi="Public Sans"/>
          <w:b w:val="false"/>
          <w:bCs w:val="false"/>
          <w:i w:val="false"/>
          <w:iCs w:val="false"/>
          <w:strike w:val="false"/>
          <w:color w:val="14171A"/>
          <w:sz w:val="24"/>
          <w:szCs w:val="24"/>
        </w:rPr>
        <w:t xml:space="preserve">If an item does not yet have an official price in the Imperial Stock spreadsheet, the Emperor is authorized to set a temporary or official price for that item.</w:t>
      </w:r>
    </w:p>
    <w:p>
      <w:pPr>
        <w:pStyle w:val="ListParagraph"/>
        <w:numPr>
          <w:ilvl w:val="0"/>
          <w:numId w:val="8"/>
        </w:numPr>
        <w:spacing w:after="140"/>
        <w:jc w:val="left"/>
      </w:pPr>
      <w:r>
        <w:rPr>
          <w:rFonts w:ascii="Public Sans" w:cs="Public Sans" w:eastAsia="Public Sans" w:hAnsi="Public Sans"/>
          <w:b w:val="false"/>
          <w:bCs w:val="false"/>
          <w:i w:val="false"/>
          <w:iCs w:val="false"/>
          <w:strike w:val="false"/>
          <w:color w:val="14171A"/>
          <w:sz w:val="24"/>
          <w:szCs w:val="24"/>
        </w:rPr>
        <w:t xml:space="preserve">Any temporary or official price set by the Emperor under this Chapter for a stackable material shall be established and interpreted on a per-stack basis and not on a per-item basis unless expressly stated otherwise.</w:t>
      </w:r>
    </w:p>
    <w:p>
      <w:pPr>
        <w:pStyle w:val="ListParagraph"/>
        <w:numPr>
          <w:ilvl w:val="0"/>
          <w:numId w:val="8"/>
        </w:numPr>
        <w:spacing w:after="140"/>
        <w:jc w:val="left"/>
      </w:pPr>
      <w:r>
        <w:rPr>
          <w:rFonts w:ascii="Public Sans" w:cs="Public Sans" w:eastAsia="Public Sans" w:hAnsi="Public Sans"/>
          <w:b w:val="false"/>
          <w:bCs w:val="false"/>
          <w:i w:val="false"/>
          <w:iCs w:val="false"/>
          <w:strike w:val="false"/>
          <w:color w:val="14171A"/>
          <w:sz w:val="24"/>
          <w:szCs w:val="24"/>
        </w:rPr>
        <w:t xml:space="preserve">Any price set by the Emperor under this Chapter must be used for grant calculations unless later replaced by a lawful updated price.</w:t>
      </w:r>
    </w:p>
    <w:p>
      <w:pPr>
        <w:pStyle w:val="ListParagraph"/>
        <w:numPr>
          <w:ilvl w:val="0"/>
          <w:numId w:val="8"/>
        </w:numPr>
        <w:spacing w:after="140"/>
        <w:jc w:val="left"/>
      </w:pPr>
      <w:r>
        <w:rPr>
          <w:rFonts w:ascii="Public Sans" w:cs="Public Sans" w:eastAsia="Public Sans" w:hAnsi="Public Sans"/>
          <w:b w:val="false"/>
          <w:bCs w:val="false"/>
          <w:i w:val="false"/>
          <w:iCs w:val="false"/>
          <w:strike w:val="false"/>
          <w:color w:val="14171A"/>
          <w:sz w:val="24"/>
          <w:szCs w:val="24"/>
        </w:rPr>
        <w:t xml:space="preserve">Any materials purchased with public grant funds must be logged through Commerce as a transaction form.</w:t>
      </w:r>
    </w:p>
    <w:p>
      <w:pPr>
        <w:pStyle w:val="ListParagraph"/>
        <w:numPr>
          <w:ilvl w:val="0"/>
          <w:numId w:val="8"/>
        </w:numPr>
        <w:spacing w:after="140"/>
        <w:jc w:val="left"/>
      </w:pPr>
      <w:r>
        <w:rPr>
          <w:rFonts w:ascii="Public Sans" w:cs="Public Sans" w:eastAsia="Public Sans" w:hAnsi="Public Sans"/>
          <w:b w:val="false"/>
          <w:bCs w:val="false"/>
          <w:i w:val="false"/>
          <w:iCs w:val="false"/>
          <w:strike w:val="false"/>
          <w:color w:val="14171A"/>
          <w:sz w:val="24"/>
          <w:szCs w:val="24"/>
        </w:rPr>
        <w:t xml:space="preserve">Failure to properly log materials purchased with public grant funds may result in the removal, suspension, reduction, or recovery of grant funding.</w:t>
      </w:r>
    </w:p>
    <w:p>
      <w:pPr>
        <w:pStyle w:val="ListParagraph"/>
        <w:numPr>
          <w:ilvl w:val="0"/>
          <w:numId w:val="8"/>
        </w:numPr>
        <w:spacing w:after="140"/>
        <w:jc w:val="left"/>
      </w:pPr>
      <w:r>
        <w:rPr>
          <w:rFonts w:ascii="Public Sans" w:cs="Public Sans" w:eastAsia="Public Sans" w:hAnsi="Public Sans"/>
          <w:b w:val="false"/>
          <w:bCs w:val="false"/>
          <w:i w:val="false"/>
          <w:iCs w:val="false"/>
          <w:strike w:val="false"/>
          <w:color w:val="14171A"/>
          <w:sz w:val="24"/>
          <w:szCs w:val="24"/>
        </w:rPr>
        <w:t xml:space="preserve">The purpose of the Commerce transaction form requirement is to prevent misuse, protect public funds, and preserve a clear record of public spending.</w:t>
      </w:r>
    </w:p>
    <w:p>
      <w:pPr>
        <w:keepNext/>
        <w:spacing w:after="150" w:before="330"/>
        <w:jc w:val="left"/>
      </w:pPr>
      <w:r>
        <w:rPr>
          <w:rFonts w:ascii="Inter" w:cs="Inter" w:eastAsia="Inter" w:hAnsi="Inter"/>
          <w:b/>
          <w:bCs/>
          <w:i w:val="false"/>
          <w:iCs w:val="false"/>
          <w:strike w:val="false"/>
          <w:color w:val="14171A"/>
          <w:sz w:val="33"/>
          <w:szCs w:val="33"/>
        </w:rPr>
        <w:t xml:space="preserve">Chapter 8 - Imperial, Financial, and Infrastructure Oversight, Audits, and Announcements</w:t>
      </w:r>
    </w:p>
    <w:p>
      <w:pPr>
        <w:pStyle w:val="ListParagraph"/>
        <w:numPr>
          <w:ilvl w:val="0"/>
          <w:numId w:val="9"/>
        </w:numPr>
        <w:spacing w:after="140"/>
        <w:jc w:val="left"/>
      </w:pPr>
      <w:r>
        <w:rPr>
          <w:rFonts w:ascii="Public Sans" w:cs="Public Sans" w:eastAsia="Public Sans" w:hAnsi="Public Sans"/>
          <w:b w:val="false"/>
          <w:bCs w:val="false"/>
          <w:i w:val="false"/>
          <w:iCs w:val="false"/>
          <w:strike w:val="false"/>
          <w:color w:val="14171A"/>
          <w:sz w:val="24"/>
          <w:szCs w:val="24"/>
        </w:rPr>
        <w:t xml:space="preserve">The Emperor shall retain final authority over the grant programs created under this Act, and the Minister of Finance and Head of Infrastructure shall be authorized to conduct oversight within their respective duties.</w:t>
      </w:r>
    </w:p>
    <w:p>
      <w:pPr>
        <w:pStyle w:val="ListParagraph"/>
        <w:numPr>
          <w:ilvl w:val="0"/>
          <w:numId w:val="9"/>
        </w:numPr>
        <w:spacing w:after="140"/>
        <w:jc w:val="left"/>
      </w:pPr>
      <w:r>
        <w:rPr>
          <w:rFonts w:ascii="Public Sans" w:cs="Public Sans" w:eastAsia="Public Sans" w:hAnsi="Public Sans"/>
          <w:b w:val="false"/>
          <w:bCs w:val="false"/>
          <w:i w:val="false"/>
          <w:iCs w:val="false"/>
          <w:strike w:val="false"/>
          <w:color w:val="14171A"/>
          <w:sz w:val="24"/>
          <w:szCs w:val="24"/>
        </w:rPr>
        <w:t xml:space="preserve">The Emperor, Minister of Finance, and Head of Infrastructure are authorized to review grant applications, request more information, inspect project plans, and set reasonable conditions for grant approval or continued funding. Final approval or denial of grant funding shall remain subject to lawful authority.</w:t>
      </w:r>
    </w:p>
    <w:p>
      <w:pPr>
        <w:pStyle w:val="ListParagraph"/>
        <w:numPr>
          <w:ilvl w:val="0"/>
          <w:numId w:val="9"/>
        </w:numPr>
        <w:spacing w:after="140"/>
        <w:jc w:val="left"/>
      </w:pPr>
      <w:r>
        <w:rPr>
          <w:rFonts w:ascii="Public Sans" w:cs="Public Sans" w:eastAsia="Public Sans" w:hAnsi="Public Sans"/>
          <w:b w:val="false"/>
          <w:bCs w:val="false"/>
          <w:i w:val="false"/>
          <w:iCs w:val="false"/>
          <w:strike w:val="false"/>
          <w:color w:val="14171A"/>
          <w:sz w:val="24"/>
          <w:szCs w:val="24"/>
        </w:rPr>
        <w:t xml:space="preserve">As a condition of approval or continued funding, the Emperor, Minister of Finance, or Head of Infrastructure may issue project directives to a developer receiving grant funding. Such directives may include requirements, instructions, design directions, spending limits, route directions, reporting requirements, or other lawful orders connected to the approved project.</w:t>
      </w:r>
    </w:p>
    <w:p>
      <w:pPr>
        <w:pStyle w:val="ListParagraph"/>
        <w:numPr>
          <w:ilvl w:val="0"/>
          <w:numId w:val="9"/>
        </w:numPr>
        <w:spacing w:after="140"/>
        <w:jc w:val="left"/>
      </w:pPr>
      <w:r>
        <w:rPr>
          <w:rFonts w:ascii="Public Sans" w:cs="Public Sans" w:eastAsia="Public Sans" w:hAnsi="Public Sans"/>
          <w:b w:val="false"/>
          <w:bCs w:val="false"/>
          <w:i w:val="false"/>
          <w:iCs w:val="false"/>
          <w:strike w:val="false"/>
          <w:color w:val="14171A"/>
          <w:sz w:val="24"/>
          <w:szCs w:val="24"/>
        </w:rPr>
        <w:t xml:space="preserve">Project directives issued under this Chapter may include:</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 defining the scope of work;</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(b) determining project priorities;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 requiring specific routes, layouts, designs, architectural standards, material choices, or design changes;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(d) determining where a project begins and ends;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(e) requiring connections to specific cities, stations, settlements, or public infrastructure;</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(f) requiring modifications necessary to align with government planning objectives, public safety, financial responsibility, or infrastructure coordination;</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(g) requiring progress updates, proof of work, screenshots, coordinates, plans, or other reasonable project records.</w:t>
      </w:r>
    </w:p>
    <w:p>
      <w:pPr>
        <w:pStyle w:val="ListParagraph"/>
        <w:numPr>
          <w:ilvl w:val="0"/>
          <w:numId w:val="9"/>
        </w:numPr>
        <w:spacing w:after="140"/>
        <w:jc w:val="left"/>
      </w:pPr>
      <w:r>
        <w:rPr>
          <w:rFonts w:ascii="Public Sans" w:cs="Public Sans" w:eastAsia="Public Sans" w:hAnsi="Public Sans"/>
          <w:b w:val="false"/>
          <w:bCs w:val="false"/>
          <w:i w:val="false"/>
          <w:iCs w:val="false"/>
          <w:strike w:val="false"/>
          <w:color w:val="14171A"/>
          <w:sz w:val="24"/>
          <w:szCs w:val="24"/>
        </w:rPr>
        <w:t xml:space="preserve">Developers receiving grant funding must comply with lawful project directives, requirements, directions, and orders issued under this Chapter.</w:t>
      </w:r>
    </w:p>
    <w:p>
      <w:pPr>
        <w:pStyle w:val="ListParagraph"/>
        <w:numPr>
          <w:ilvl w:val="0"/>
          <w:numId w:val="9"/>
        </w:numPr>
        <w:spacing w:after="140"/>
        <w:jc w:val="left"/>
      </w:pPr>
      <w:r>
        <w:rPr>
          <w:rFonts w:ascii="Public Sans" w:cs="Public Sans" w:eastAsia="Public Sans" w:hAnsi="Public Sans"/>
          <w:b w:val="false"/>
          <w:bCs w:val="false"/>
          <w:i w:val="false"/>
          <w:iCs w:val="false"/>
          <w:strike w:val="false"/>
          <w:color w:val="14171A"/>
          <w:sz w:val="24"/>
          <w:szCs w:val="24"/>
        </w:rPr>
        <w:t xml:space="preserve">The Emperor, Minister of Finance, and Head of Infrastructure are authorized to audit grant recipients and inspect the progress, spending, design, route, layout, safety, and condition of projects funded under this Act.</w:t>
      </w:r>
    </w:p>
    <w:p>
      <w:pPr>
        <w:pStyle w:val="ListParagraph"/>
        <w:numPr>
          <w:ilvl w:val="0"/>
          <w:numId w:val="9"/>
        </w:numPr>
        <w:spacing w:after="140"/>
        <w:jc w:val="left"/>
      </w:pPr>
      <w:r>
        <w:rPr>
          <w:rFonts w:ascii="Public Sans" w:cs="Public Sans" w:eastAsia="Public Sans" w:hAnsi="Public Sans"/>
          <w:b w:val="false"/>
          <w:bCs w:val="false"/>
          <w:i w:val="false"/>
          <w:iCs w:val="false"/>
          <w:strike w:val="false"/>
          <w:color w:val="14171A"/>
          <w:sz w:val="24"/>
          <w:szCs w:val="24"/>
        </w:rPr>
        <w:t xml:space="preserve">The Emperor may retract, suspend, reduce, or recover grant funding, and the Minister of Finance or Head of Infrastructure may recommend such action, if:</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 the developer is not making reasonable progress;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(b) the developer fails to provide timely updates;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 the developer fails to provide proof of work;</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(d) the developer spends funds unwisely;</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(e) the developer uses funds for unauthorized purposes;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(f) the developer fails to log required Commerce transaction forms;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(g) the project is abandoned;</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(h) the developer refuses to comply with lawful project directives, requirements, directions, or orders;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(i) the project is completed and leftover grant funds remain unused.</w:t>
      </w:r>
    </w:p>
    <w:p>
      <w:pPr>
        <w:pStyle w:val="ListParagraph"/>
        <w:numPr>
          <w:ilvl w:val="0"/>
          <w:numId w:val="9"/>
        </w:numPr>
        <w:spacing w:after="140"/>
        <w:jc w:val="left"/>
      </w:pPr>
      <w:r>
        <w:rPr>
          <w:rFonts w:ascii="Public Sans" w:cs="Public Sans" w:eastAsia="Public Sans" w:hAnsi="Public Sans"/>
          <w:b w:val="false"/>
          <w:bCs w:val="false"/>
          <w:i w:val="false"/>
          <w:iCs w:val="false"/>
          <w:strike w:val="false"/>
          <w:color w:val="14171A"/>
          <w:sz w:val="24"/>
          <w:szCs w:val="24"/>
        </w:rPr>
        <w:t xml:space="preserve">Developers who receive grant funding must provide timely updates and proof of work when reasonably requested by the Emperor, the Minister of Finance, the Head of Infrastructure, or another lawful Totemian government authority.</w:t>
      </w:r>
    </w:p>
    <w:p>
      <w:pPr>
        <w:pStyle w:val="ListParagraph"/>
        <w:numPr>
          <w:ilvl w:val="0"/>
          <w:numId w:val="9"/>
        </w:numPr>
        <w:spacing w:after="140"/>
        <w:jc w:val="left"/>
      </w:pPr>
      <w:r>
        <w:rPr>
          <w:rFonts w:ascii="Public Sans" w:cs="Public Sans" w:eastAsia="Public Sans" w:hAnsi="Public Sans"/>
          <w:b w:val="false"/>
          <w:bCs w:val="false"/>
          <w:i w:val="false"/>
          <w:iCs w:val="false"/>
          <w:strike w:val="false"/>
          <w:color w:val="14171A"/>
          <w:sz w:val="24"/>
          <w:szCs w:val="24"/>
        </w:rPr>
        <w:t xml:space="preserve">Grant funding may include reasonable labor compensation where labor costs are included in the approved cost breakdown.</w:t>
      </w:r>
    </w:p>
    <w:p>
      <w:pPr>
        <w:pStyle w:val="ListParagraph"/>
        <w:numPr>
          <w:ilvl w:val="0"/>
          <w:numId w:val="9"/>
        </w:numPr>
        <w:spacing w:after="140"/>
        <w:jc w:val="left"/>
      </w:pPr>
      <w:r>
        <w:rPr>
          <w:rFonts w:ascii="Public Sans" w:cs="Public Sans" w:eastAsia="Public Sans" w:hAnsi="Public Sans"/>
          <w:b w:val="false"/>
          <w:bCs w:val="false"/>
          <w:i w:val="false"/>
          <w:iCs w:val="false"/>
          <w:strike w:val="false"/>
          <w:color w:val="14171A"/>
          <w:sz w:val="24"/>
          <w:szCs w:val="24"/>
        </w:rPr>
        <w:t xml:space="preserve">A dedicated channel, public notice, or announcement must be made regarding the grant programs created under this Act.</w:t>
      </w:r>
    </w:p>
    <w:p>
      <w:pPr>
        <w:pStyle w:val="ListParagraph"/>
        <w:numPr>
          <w:ilvl w:val="0"/>
          <w:numId w:val="9"/>
        </w:numPr>
        <w:spacing w:after="140"/>
        <w:jc w:val="left"/>
      </w:pPr>
      <w:r>
        <w:rPr>
          <w:rFonts w:ascii="Public Sans" w:cs="Public Sans" w:eastAsia="Public Sans" w:hAnsi="Public Sans"/>
          <w:b w:val="false"/>
          <w:bCs w:val="false"/>
          <w:i w:val="false"/>
          <w:iCs w:val="false"/>
          <w:strike w:val="false"/>
          <w:color w:val="14171A"/>
          <w:sz w:val="24"/>
          <w:szCs w:val="24"/>
        </w:rPr>
        <w:t xml:space="preserve">The announcement must include: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the total amount allocated to each grant program;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the purpose of each grant program;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the requirements to apply;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the website registration and website transfer requirement;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 the Commerce transaction form requirement;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 the expiration date for grant funding.</w:t>
      </w:r>
    </w:p>
    <w:p>
      <w:pPr>
        <w:keepNext/>
        <w:spacing w:after="150" w:before="330"/>
        <w:jc w:val="left"/>
      </w:pPr>
      <w:r>
        <w:rPr>
          <w:rFonts w:ascii="Inter" w:cs="Inter" w:eastAsia="Inter" w:hAnsi="Inter"/>
          <w:b/>
          <w:bCs/>
          <w:i w:val="false"/>
          <w:iCs w:val="false"/>
          <w:strike w:val="false"/>
          <w:color w:val="14171A"/>
          <w:sz w:val="33"/>
          <w:szCs w:val="33"/>
        </w:rPr>
        <w:t xml:space="preserve">Chapter 9 - Funding, Expiration, and Closure</w:t>
      </w:r>
    </w:p>
    <w:p>
      <w:pPr>
        <w:pStyle w:val="ListParagraph"/>
        <w:numPr>
          <w:ilvl w:val="0"/>
          <w:numId w:val="10"/>
        </w:num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Infrastructure shall create and maintain the following temporary grant funds for the administration of this Act:</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 Blue Ice Grants Fund — fifty thousand Shillings (50,000 SL);</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(b) Public Lighting Grants Fund — five thousand Shillings (5,000 SL);</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 Metro Renovation Grants Fund — twenty-five thousand Shillings (25,000 SL);</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(d) Agriculture Grants Fund — thirteen thousand Shillings (13,000 SL).</w:t>
      </w:r>
    </w:p>
    <w:p>
      <w:pPr>
        <w:pStyle w:val="ListParagraph"/>
        <w:numPr>
          <w:ilvl w:val="0"/>
          <w:numId w:val="10"/>
        </w:numPr>
        <w:spacing w:after="140"/>
        <w:jc w:val="left"/>
      </w:pPr>
      <w:r>
        <w:rPr>
          <w:rFonts w:ascii="Public Sans" w:cs="Public Sans" w:eastAsia="Public Sans" w:hAnsi="Public Sans"/>
          <w:b w:val="false"/>
          <w:bCs w:val="false"/>
          <w:i w:val="false"/>
          <w:iCs w:val="false"/>
          <w:strike w:val="false"/>
          <w:color w:val="14171A"/>
          <w:sz w:val="24"/>
          <w:szCs w:val="24"/>
        </w:rPr>
        <w:t xml:space="preserve">The total amount authorized to be transferred from the Reserve Fund under this Act shall not exceed ninety-three thousand Shillings (93,000 SL).</w:t>
      </w:r>
    </w:p>
    <w:p>
      <w:pPr>
        <w:pStyle w:val="ListParagraph"/>
        <w:numPr>
          <w:ilvl w:val="0"/>
          <w:numId w:val="10"/>
        </w:numPr>
        <w:spacing w:after="140"/>
        <w:jc w:val="left"/>
      </w:pPr>
      <w:r>
        <w:rPr>
          <w:rFonts w:ascii="Public Sans" w:cs="Public Sans" w:eastAsia="Public Sans" w:hAnsi="Public Sans"/>
          <w:b w:val="false"/>
          <w:bCs w:val="false"/>
          <w:i w:val="false"/>
          <w:iCs w:val="false"/>
          <w:strike w:val="false"/>
          <w:color w:val="14171A"/>
          <w:sz w:val="24"/>
          <w:szCs w:val="24"/>
        </w:rPr>
        <w:t xml:space="preserve">The amounts listed in section 1 represent the maximum funding available for each grant program and shall not be combined unless authorized by lawful authority.</w:t>
      </w:r>
    </w:p>
    <w:p>
      <w:pPr>
        <w:pStyle w:val="ListParagraph"/>
        <w:numPr>
          <w:ilvl w:val="0"/>
          <w:numId w:val="10"/>
        </w:numPr>
        <w:spacing w:after="140"/>
        <w:jc w:val="left"/>
      </w:pPr>
      <w:r>
        <w:rPr>
          <w:rFonts w:ascii="Public Sans" w:cs="Public Sans" w:eastAsia="Public Sans" w:hAnsi="Public Sans"/>
          <w:b w:val="false"/>
          <w:bCs w:val="false"/>
          <w:i w:val="false"/>
          <w:iCs w:val="false"/>
          <w:strike w:val="false"/>
          <w:color w:val="14171A"/>
          <w:sz w:val="24"/>
          <w:szCs w:val="24"/>
        </w:rPr>
        <w:t xml:space="preserve">Funding support for the grant programs created under this Act shall expire on July 31, 2026.</w:t>
      </w:r>
    </w:p>
    <w:p>
      <w:pPr>
        <w:pStyle w:val="ListParagraph"/>
        <w:numPr>
          <w:ilvl w:val="0"/>
          <w:numId w:val="10"/>
        </w:numPr>
        <w:spacing w:after="140"/>
        <w:jc w:val="left"/>
      </w:pPr>
      <w:r>
        <w:rPr>
          <w:rFonts w:ascii="Public Sans" w:cs="Public Sans" w:eastAsia="Public Sans" w:hAnsi="Public Sans"/>
          <w:b w:val="false"/>
          <w:bCs w:val="false"/>
          <w:i w:val="false"/>
          <w:iCs w:val="false"/>
          <w:strike w:val="false"/>
          <w:color w:val="14171A"/>
          <w:sz w:val="24"/>
          <w:szCs w:val="24"/>
        </w:rPr>
        <w:t xml:space="preserve">After July 31, 2026, no new grant funding shall be provided under this Act unless renewed by lawful authority.</w:t>
      </w:r>
    </w:p>
    <w:p>
      <w:pPr>
        <w:pStyle w:val="ListParagraph"/>
        <w:numPr>
          <w:ilvl w:val="0"/>
          <w:numId w:val="10"/>
        </w:numPr>
        <w:spacing w:after="140"/>
        <w:jc w:val="left"/>
      </w:pPr>
      <w:r>
        <w:rPr>
          <w:rFonts w:ascii="Public Sans" w:cs="Public Sans" w:eastAsia="Public Sans" w:hAnsi="Public Sans"/>
          <w:b w:val="false"/>
          <w:bCs w:val="false"/>
          <w:i w:val="false"/>
          <w:iCs w:val="false"/>
          <w:strike w:val="false"/>
          <w:color w:val="14171A"/>
          <w:sz w:val="24"/>
          <w:szCs w:val="24"/>
        </w:rPr>
        <w:t xml:space="preserve">When grant funding expires, any money remaining inside the temporary grant funds shall be restored to the Reserve Fund.</w:t>
      </w:r>
    </w:p>
    <w:p>
      <w:pPr>
        <w:pStyle w:val="ListParagraph"/>
        <w:numPr>
          <w:ilvl w:val="0"/>
          <w:numId w:val="10"/>
        </w:numPr>
        <w:spacing w:after="140"/>
        <w:jc w:val="left"/>
      </w:pPr>
      <w:r>
        <w:rPr>
          <w:rFonts w:ascii="Public Sans" w:cs="Public Sans" w:eastAsia="Public Sans" w:hAnsi="Public Sans"/>
          <w:b w:val="false"/>
          <w:bCs w:val="false"/>
          <w:i w:val="false"/>
          <w:iCs w:val="false"/>
          <w:strike w:val="false"/>
          <w:color w:val="14171A"/>
          <w:sz w:val="24"/>
          <w:szCs w:val="24"/>
        </w:rPr>
        <w:t xml:space="preserve">Funds already distributed before expiration must continue to be used only for the approved project purposes.</w:t>
      </w:r>
    </w:p>
    <w:p>
      <w:pPr>
        <w:pStyle w:val="ListParagraph"/>
        <w:numPr>
          <w:ilvl w:val="0"/>
          <w:numId w:val="10"/>
        </w:numPr>
        <w:spacing w:after="140"/>
        <w:jc w:val="left"/>
      </w:pPr>
      <w:r>
        <w:rPr>
          <w:rFonts w:ascii="Public Sans" w:cs="Public Sans" w:eastAsia="Public Sans" w:hAnsi="Public Sans"/>
          <w:b w:val="false"/>
          <w:bCs w:val="false"/>
          <w:i w:val="false"/>
          <w:iCs w:val="false"/>
          <w:strike w:val="false"/>
          <w:color w:val="14171A"/>
          <w:sz w:val="24"/>
          <w:szCs w:val="24"/>
        </w:rPr>
        <w:t xml:space="preserve">If a project is completed after review and auditing by Totemian government authorities, leftover grant funding may be taken back by the government.</w:t>
      </w:r>
    </w:p>
    <w:p>
      <w:pPr>
        <w:pStyle w:val="ListParagraph"/>
        <w:numPr>
          <w:ilvl w:val="0"/>
          <w:numId w:val="10"/>
        </w:numPr>
        <w:spacing w:after="140"/>
        <w:jc w:val="left"/>
      </w:pPr>
      <w:r>
        <w:rPr>
          <w:rFonts w:ascii="Public Sans" w:cs="Public Sans" w:eastAsia="Public Sans" w:hAnsi="Public Sans"/>
          <w:b w:val="false"/>
          <w:bCs w:val="false"/>
          <w:i w:val="false"/>
          <w:iCs w:val="false"/>
          <w:strike w:val="false"/>
          <w:color w:val="14171A"/>
          <w:sz w:val="24"/>
          <w:szCs w:val="24"/>
        </w:rPr>
        <w:t xml:space="preserve">The temporary funds created under this Act shall be deleted, closed, or disabled once:</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 the funding has fully run out;</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(b) the funding has expired and been returned to the Reserve Fund;</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 the projects are considered closed;</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(d) the government determines that the fund is no longer needed.</w:t>
      </w:r>
    </w:p>
    <w:p>
      <w:pPr>
        <w:pStyle w:val="ListParagraph"/>
        <w:numPr>
          <w:ilvl w:val="0"/>
          <w:numId w:val="10"/>
        </w:numPr>
        <w:spacing w:after="140"/>
        <w:jc w:val="left"/>
      </w:pPr>
      <w:r>
        <w:rPr>
          <w:rFonts w:ascii="Public Sans" w:cs="Public Sans" w:eastAsia="Public Sans" w:hAnsi="Public Sans"/>
          <w:b w:val="false"/>
          <w:bCs w:val="false"/>
          <w:i w:val="false"/>
          <w:iCs w:val="false"/>
          <w:strike w:val="false"/>
          <w:color w:val="14171A"/>
          <w:sz w:val="24"/>
          <w:szCs w:val="24"/>
        </w:rPr>
        <w:t xml:space="preserve">Nothing in this Act prevents the government from auditing, reviewing, or recovering improperly used grant funds after the expiration date.</w:t>
      </w:r>
    </w:p>
    <w:p>
      <w:pPr>
        <w:keepNext/>
        <w:spacing w:after="150" w:before="330"/>
        <w:jc w:val="left"/>
      </w:pPr>
      <w:r>
        <w:rPr>
          <w:rFonts w:ascii="Inter" w:cs="Inter" w:eastAsia="Inter" w:hAnsi="Inter"/>
          <w:b/>
          <w:bCs/>
          <w:i w:val="false"/>
          <w:iCs w:val="false"/>
          <w:strike w:val="false"/>
          <w:color w:val="14171A"/>
          <w:sz w:val="33"/>
          <w:szCs w:val="33"/>
        </w:rPr>
        <w:t xml:space="preserve">END OF ACT</w:t>
      </w:r>
    </w:p>
    <w:p>
      <w:pPr>
        <w:spacing w:after="140"/>
        <w:jc w:val="left"/>
      </w:pPr>
    </w:p>
    <w:p>
      <w:pPr>
        <w:keepNext/>
        <w:spacing w:before="600"/>
        <w:jc w:val="center"/>
      </w:pPr>
      <w:r>
        <w:drawing>
          <wp:inline distT="0" distB="0" distL="0" distR="0">
            <wp:extent cx="2857500" cy="1428750"/>
            <wp:effectExtent t="0" r="0" b="0" l="0"/>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0" cy="1428750"/>
                    </a:xfrm>
                    <a:prstGeom prst="rect">
                      <a:avLst/>
                    </a:prstGeom>
                  </pic:spPr>
                </pic:pic>
              </a:graphicData>
            </a:graphic>
          </wp:inline>
        </w:drawing>
      </w:r>
    </w:p>
    <w:p>
      <w:pPr>
        <w:jc w:val="center"/>
      </w:pPr>
      <w:r>
        <w:rPr>
          <w:rFonts w:ascii="Public Sans" w:cs="Public Sans" w:eastAsia="Public Sans" w:hAnsi="Public Sans"/>
          <w:color w:val="5B636C"/>
          <w:spacing w:val="20"/>
          <w:sz w:val="12"/>
          <w:szCs w:val="12"/>
        </w:rPr>
        <w:t xml:space="preserve">UNDER THE GREAT SEAL</w:t>
      </w:r>
    </w:p>
    <w:sectPr>
      <w:footerReference w:type="default" r:id="rId6"/>
      <w:pgSz w:w="11906" w:h="16838" w:orient="portrait"/>
      <w:pgMar w:top="1080" w:right="1080" w:bottom="1180" w:left="1080" w:header="708" w:footer="54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067C7B84-6006-EA0A-7932-A47F11CC528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6EA" w:sz="4" w:space="6"/>
      </w:pBdr>
      <w:spacing w:before="80"/>
      <w:jc w:val="right"/>
    </w:pPr>
    <w:r>
      <w:rPr>
        <w:rFonts w:ascii="Public Sans" w:cs="Public Sans" w:eastAsia="Public Sans" w:hAnsi="Public Sans"/>
        <w:color w:val="5B636C"/>
        <w:sz w:val="12"/>
        <w:szCs w:val="12"/>
      </w:rPr>
      <w:t xml:space="preserve">HC Bill 25-4  ·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60" w:hanging="260"/>
      </w:p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2"/>
    <w:lvlOverride w:ilvl="0">
      <w:startOverride w:val="1"/>
    </w:lvlOverride>
  </w:num>
  <w:num w:numId="10">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4171A"/>
        <w:sz w:val="24"/>
        <w:szCs w:val="24"/>
      </w:rPr>
    </w:rPrDefault>
    <w:pPrDefault>
      <w:pPr>
        <w:spacing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3a83d6c674cb7c39ba15c9aaac290c7adf96805.png"/><Relationship Id="rId9" Type="http://schemas.openxmlformats.org/officeDocument/2006/relationships/image" Target="media/caafe39874a9123236abd4ebc62d22223845909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 Bill 25-4 — Pilot Infrastructure and Agriculture Grants Act of 2026</dc:title>
  <dc:creator>Parliament of the Totemian Empire</dc:creator>
  <cp:lastModifiedBy>Un-named</cp:lastModifiedBy>
  <cp:revision>1</cp:revision>
  <dcterms:created xsi:type="dcterms:W3CDTF">2026-10-23T06:39:07.797Z</dcterms:created>
  <dcterms:modified xsi:type="dcterms:W3CDTF">2026-10-23T06:39:07.797Z</dcterms:modified>
</cp:coreProperties>
</file>

<file path=docProps/custom.xml><?xml version="1.0" encoding="utf-8"?>
<Properties xmlns="http://schemas.openxmlformats.org/officeDocument/2006/custom-properties" xmlns:vt="http://schemas.openxmlformats.org/officeDocument/2006/docPropsVTypes"/>
</file>