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609600" cy="609600"/>
            <wp:effectExtent t="0" r="0" b="0" l="0"/>
            <wp:docPr id="1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  <w:jc w:val="center"/>
      </w:pPr>
      <w:r>
        <w:rPr>
          <w:rFonts w:ascii="Inter" w:cs="Inter" w:eastAsia="Inter" w:hAnsi="Inter"/>
          <w:b/>
          <w:bCs/>
          <w:color w:val="5B636C"/>
          <w:spacing w:val="20"/>
          <w:sz w:val="15"/>
          <w:szCs w:val="15"/>
        </w:rPr>
        <w:t xml:space="preserve">HC BILL 28-12</w:t>
      </w:r>
    </w:p>
    <w:p>
      <w:pPr>
        <w:spacing w:after="60"/>
        <w:jc w:val="center"/>
      </w:pPr>
      <w:r>
        <w:rPr>
          <w:rFonts w:ascii="Inter" w:cs="Inter" w:eastAsia="Inter" w:hAnsi="Inter"/>
          <w:b/>
          <w:bCs/>
          <w:color w:val="14171A"/>
          <w:sz w:val="33"/>
          <w:szCs w:val="33"/>
        </w:rPr>
        <w:t xml:space="preserve">Payroll Allocation Act of 2026</w:t>
      </w:r>
    </w:p>
    <w:p>
      <w:pPr>
        <w:spacing w:after="120"/>
        <w:jc w:val="center"/>
      </w:pPr>
      <w:r>
        <w:rPr>
          <w:rFonts w:ascii="Inter" w:cs="Inter" w:eastAsia="Inter" w:hAnsi="Inter"/>
          <w:i/>
          <w:iCs/>
          <w:color w:val="5B636C"/>
          <w:sz w:val="17"/>
          <w:szCs w:val="17"/>
        </w:rPr>
        <w:t xml:space="preserve">An Act to provide for the transfer of 1,500,000 SL from the Imperial Reserve Fund to the Central Payroll Fund.</w:t>
      </w:r>
    </w:p>
    <w:p>
      <w:pPr>
        <w:spacing w:after="120"/>
        <w:jc w:val="center"/>
      </w:pPr>
      <w:r>
        <w:rPr>
          <w:rFonts w:ascii="Inter" w:cs="Inter" w:eastAsia="Inter" w:hAnsi="Inter"/>
          <w:b/>
          <w:bCs/>
          <w:color w:val="5B636C"/>
          <w:sz w:val="18"/>
          <w:szCs w:val="18"/>
        </w:rPr>
        <w:t xml:space="preserve">BILL · 28TH TOTEMIAN PARLIAMENT</w:t>
      </w:r>
    </w:p>
    <w:p>
      <w:pPr>
        <w:spacing w:after="30"/>
        <w:jc w:val="center"/>
      </w:pPr>
      <w:r>
        <w:rPr>
          <w:rFonts w:ascii="Inter" w:cs="Inter" w:eastAsia="Inter" w:hAnsi="Inter"/>
          <w:b/>
          <w:bCs/>
          <w:color w:val="5B636C"/>
          <w:spacing w:val="20"/>
          <w:sz w:val="14"/>
          <w:szCs w:val="14"/>
        </w:rPr>
        <w:t xml:space="preserve">PRIMARY SPONSOR</w:t>
      </w:r>
    </w:p>
    <w:p>
      <w:pPr>
        <w:spacing w:after="20"/>
        <w:jc w:val="center"/>
      </w:pPr>
      <w:r>
        <w:rPr>
          <w:rFonts w:ascii="Inter" w:cs="Inter" w:eastAsia="Inter" w:hAnsi="Inter"/>
          <w:b/>
          <w:bCs/>
          <w:color w:val="14171A"/>
          <w:sz w:val="20"/>
          <w:szCs w:val="20"/>
        </w:rPr>
        <w:t xml:space="preserve">Nuxart</w:t>
      </w:r>
    </w:p>
    <w:p>
      <w:pPr>
        <w:spacing w:after="110"/>
        <w:jc w:val="center"/>
      </w:pPr>
      <w:r>
        <w:rPr>
          <w:rFonts w:ascii="Inter" w:cs="Inter" w:eastAsia="Inter" w:hAnsi="Inter"/>
          <w:color w:val="5B636C"/>
          <w:sz w:val="16"/>
          <w:szCs w:val="16"/>
        </w:rPr>
        <w:t xml:space="preserve">Member of the House of Commons · The Birthday Party</w:t>
      </w:r>
    </w:p>
    <w:p>
      <w:pPr>
        <w:spacing w:after="300"/>
        <w:jc w:val="center"/>
      </w:pPr>
      <w:r>
        <w:rPr>
          <w:rFonts w:ascii="Inter" w:cs="Inter" w:eastAsia="Inter" w:hAnsi="Inter"/>
          <w:i/>
          <w:iCs/>
          <w:color w:val="5B636C"/>
          <w:sz w:val="17"/>
          <w:szCs w:val="17"/>
        </w:rPr>
        <w:t xml:space="preserve">Introduced October 31st, 2026</w:t>
      </w:r>
    </w:p>
    <w:p>
      <w:pPr>
        <w:spacing w:after="140"/>
        <w:jc w:val="center"/>
      </w:pPr>
      <w:r>
        <w:rPr>
          <w:rFonts w:ascii="Public Sans" w:cs="Public Sans" w:eastAsia="Public Sans" w:hAnsi="Public Sans"/>
          <w:b w:val="false"/>
          <w:bCs w:val="false"/>
          <w:i w:val="false"/>
          <w:iCs w:val="false"/>
          <w:strike w:val="false"/>
          <w:color w:val="14171A"/>
          <w:sz w:val="24"/>
          <w:szCs w:val="24"/>
        </w:rPr>
        <w:t xml:space="preserve"> </w:t>
      </w:r>
    </w:p>
    <w:p>
      <w:pPr>
        <w:spacing w:after="140"/>
        <w:jc w:val="center"/>
      </w:pPr>
      <w:r>
        <w:rPr>
          <w:rFonts w:ascii="Public Sans" w:cs="Public Sans" w:eastAsia="Public Sans" w:hAnsi="Public Sans"/>
          <w:b w:val="false"/>
          <w:bCs w:val="false"/>
          <w:i w:val="false"/>
          <w:iCs w:val="false"/>
          <w:strike w:val="false"/>
          <w:color w:val="14171A"/>
          <w:sz w:val="24"/>
          <w:szCs w:val="24"/>
        </w:rPr>
        <w:t xml:space="preserve">Payroll Allocation</w:t>
      </w:r>
      <w:r>
        <w:rPr>
          <w:rFonts w:ascii="Public Sans" w:cs="Public Sans" w:eastAsia="Public Sans" w:hAnsi="Public Sans"/>
          <w:b w:val="false"/>
          <w:bCs w:val="false"/>
          <w:i w:val="false"/>
          <w:iCs w:val="false"/>
          <w:strike w:val="false"/>
          <w:color w:val="14171A"/>
          <w:sz w:val="24"/>
          <w:szCs w:val="24"/>
        </w:rPr>
        <w:t xml:space="preserve"> Act of 2026</w:t>
      </w:r>
    </w:p>
    <w:p>
      <w:pPr>
        <w:spacing w:after="140"/>
        <w:jc w:val="left"/>
      </w:pPr>
    </w:p>
    <w:p>
      <w:pPr>
        <w:spacing w:after="140"/>
        <w:jc w:val="left"/>
      </w:pPr>
      <w:r>
        <w:rPr>
          <w:rFonts w:ascii="Public Sans" w:cs="Public Sans" w:eastAsia="Public Sans" w:hAnsi="Public Sans"/>
          <w:b/>
          <w:bCs/>
          <w:i w:val="false"/>
          <w:iCs w:val="false"/>
          <w:strike w:val="false"/>
          <w:color w:val="14171A"/>
          <w:sz w:val="24"/>
          <w:szCs w:val="24"/>
        </w:rPr>
        <w:t xml:space="preserve">Introduced By: Nuxart (The Birthday Party)</w:t>
      </w:r>
    </w:p>
    <w:p>
      <w:pPr>
        <w:spacing w:after="140"/>
        <w:jc w:val="left"/>
      </w:pPr>
      <w:r>
        <w:rPr>
          <w:rFonts w:ascii="Public Sans" w:cs="Public Sans" w:eastAsia="Public Sans" w:hAnsi="Public Sans"/>
          <w:b/>
          <w:bCs/>
          <w:i w:val="false"/>
          <w:iCs w:val="false"/>
          <w:strike w:val="false"/>
          <w:color w:val="14171A"/>
          <w:sz w:val="24"/>
          <w:szCs w:val="24"/>
        </w:rPr>
        <w:t xml:space="preserve">Date: October 31st, 2026</w:t>
      </w:r>
    </w:p>
    <w:p>
      <w:pPr>
        <w:spacing w:after="140"/>
        <w:jc w:val="left"/>
      </w:pPr>
    </w:p>
    <w:p>
      <w:pPr>
        <w:spacing w:after="140"/>
        <w:jc w:val="left"/>
      </w:pPr>
      <w:r>
        <w:rPr>
          <w:rFonts w:ascii="Public Sans" w:cs="Public Sans" w:eastAsia="Public Sans" w:hAnsi="Public Sans"/>
          <w:b w:val="false"/>
          <w:bCs w:val="false"/>
          <w:i w:val="false"/>
          <w:iCs w:val="false"/>
          <w:strike w:val="false"/>
          <w:color w:val="14171A"/>
          <w:sz w:val="24"/>
          <w:szCs w:val="24"/>
        </w:rPr>
        <w:t xml:space="preserve">Be it enacted by the Parliament of the Totemian Empire, duly assembled, with the assent of the Emperor, as follows:</w:t>
      </w:r>
    </w:p>
    <w:p>
      <w:pPr>
        <w:spacing w:after="140"/>
        <w:jc w:val="left"/>
      </w:pPr>
    </w:p>
    <w:p>
      <w:pPr>
        <w:spacing w:after="140"/>
        <w:jc w:val="left"/>
      </w:pPr>
      <w:r>
        <w:rPr>
          <w:rFonts w:ascii="Public Sans" w:cs="Public Sans" w:eastAsia="Public Sans" w:hAnsi="Public Sans"/>
          <w:b/>
          <w:bCs/>
          <w:i w:val="false"/>
          <w:iCs w:val="false"/>
          <w:strike w:val="false"/>
          <w:color w:val="14171A"/>
          <w:sz w:val="24"/>
          <w:szCs w:val="24"/>
        </w:rPr>
        <w:t xml:space="preserve">Purpose and Scope</w:t>
      </w:r>
    </w:p>
    <w:p>
      <w:pPr>
        <w:spacing w:after="140"/>
        <w:jc w:val="left"/>
      </w:pPr>
      <w:r>
        <w:rPr>
          <w:rFonts w:ascii="Public Sans" w:cs="Public Sans" w:eastAsia="Public Sans" w:hAnsi="Public Sans"/>
          <w:b w:val="false"/>
          <w:bCs w:val="false"/>
          <w:i w:val="false"/>
          <w:iCs w:val="false"/>
          <w:strike w:val="false"/>
          <w:color w:val="14171A"/>
          <w:sz w:val="24"/>
          <w:szCs w:val="24"/>
        </w:rPr>
        <w:t xml:space="preserve">An Act to provide for the transfer of 1,500,000 SL from the Imperial Reserve Fund to the Central Payroll Fund.</w:t>
      </w:r>
    </w:p>
    <w:p>
      <w:pPr>
        <w:spacing w:after="140"/>
        <w:jc w:val="left"/>
      </w:pPr>
    </w:p>
    <w:p>
      <w:pPr>
        <w:keepNext/>
        <w:spacing w:after="150" w:before="330"/>
        <w:jc w:val="left"/>
      </w:pPr>
      <w:r>
        <w:rPr>
          <w:rFonts w:ascii="Inter" w:cs="Inter" w:eastAsia="Inter" w:hAnsi="Inter"/>
          <w:b/>
          <w:bCs/>
          <w:i w:val="false"/>
          <w:iCs w:val="false"/>
          <w:strike w:val="false"/>
          <w:color w:val="14171A"/>
          <w:sz w:val="33"/>
          <w:szCs w:val="33"/>
        </w:rPr>
        <w:t xml:space="preserve">Chapter 1 - Payroll Allocation</w:t>
      </w:r>
    </w:p>
    <w:p>
      <w:pPr>
        <w:spacing w:after="140"/>
        <w:jc w:val="left"/>
      </w:pPr>
      <w:r>
        <w:rPr>
          <w:rFonts w:ascii="Public Sans" w:cs="Public Sans" w:eastAsia="Public Sans" w:hAnsi="Public Sans"/>
          <w:b/>
          <w:bCs/>
          <w:i w:val="false"/>
          <w:iCs w:val="false"/>
          <w:strike w:val="false"/>
          <w:color w:val="14171A"/>
          <w:sz w:val="24"/>
          <w:szCs w:val="24"/>
        </w:rPr>
        <w:t xml:space="preserve">Section 1: Transfer of Funds</w:t>
      </w:r>
    </w:p>
    <w:p>
      <w:pPr>
        <w:spacing w:after="140"/>
        <w:jc w:val="left"/>
      </w:pPr>
      <w:r>
        <w:rPr>
          <w:rFonts w:ascii="Public Sans" w:cs="Public Sans" w:eastAsia="Public Sans" w:hAnsi="Public Sans"/>
          <w:b w:val="false"/>
          <w:bCs w:val="false"/>
          <w:i w:val="false"/>
          <w:iCs w:val="false"/>
          <w:strike w:val="false"/>
          <w:color w:val="14171A"/>
          <w:sz w:val="24"/>
          <w:szCs w:val="24"/>
        </w:rPr>
        <w:t xml:space="preserve">The Ministry of Finance shall transfer 1,500,000 SL from the Imperial Reserve Fund to the Central Payroll Fund.</w:t>
      </w:r>
    </w:p>
    <w:p>
      <w:pPr>
        <w:spacing w:after="140"/>
        <w:jc w:val="left"/>
      </w:pPr>
    </w:p>
    <w:p>
      <w:pPr>
        <w:spacing w:after="140"/>
        <w:jc w:val="center"/>
      </w:pPr>
      <w:r>
        <w:rPr>
          <w:rFonts w:ascii="Public Sans" w:cs="Public Sans" w:eastAsia="Public Sans" w:hAnsi="Public Sans"/>
          <w:b/>
          <w:bCs/>
          <w:i w:val="false"/>
          <w:iCs w:val="false"/>
          <w:strike w:val="false"/>
          <w:color w:val="14171A"/>
          <w:sz w:val="24"/>
          <w:szCs w:val="24"/>
        </w:rPr>
        <w:t xml:space="preserve">END OF BILL</w:t>
      </w:r>
    </w:p>
    <w:sectPr>
      <w:footerReference w:type="default" r:id="rId6"/>
      <w:pgSz w:w="11906" w:h="16838" w:orient="portrait"/>
      <w:pgMar w:top="1080" w:right="1080" w:bottom="1180" w:left="1080" w:header="708" w:footer="540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ublic Sans">
    <w:family w:val="auto"/>
    <w:pitch w:val="variable"/>
    <w:sig w:usb0="E0002AFF" w:usb1="C000247B" w:usb2="00000009" w:usb3="00000000" w:csb0="000001FF" w:csb1="00000000"/>
    <w:embedRegular r:id="rId1" w:fontKey="{CDBF915D-0658-FECA-EBFA-577093D84A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6EA" w:sz="4" w:space="6"/>
      </w:pBdr>
      <w:spacing w:before="80"/>
      <w:jc w:val="right"/>
    </w:pPr>
    <w:r>
      <w:rPr>
        <w:rFonts w:ascii="Public Sans" w:cs="Public Sans" w:eastAsia="Public Sans" w:hAnsi="Public Sans"/>
        <w:color w:val="5B636C"/>
        <w:sz w:val="12"/>
        <w:szCs w:val="12"/>
      </w:rPr>
      <w:t xml:space="preserve">HC Bill 28-12  ·  Page </w:t>
    </w:r>
    <w:r>
      <w:rPr>
        <w:rFonts w:ascii="Public Sans" w:cs="Public Sans" w:eastAsia="Public Sans" w:hAnsi="Public Sans"/>
        <w:color w:val="5B636C"/>
        <w:sz w:val="12"/>
        <w:szCs w:val="12"/>
      </w:rPr>
      <w:fldChar w:fldCharType="begin"/>
    </w:r>
    <w:r>
      <w:rPr>
        <w:rFonts w:ascii="Public Sans" w:cs="Public Sans" w:eastAsia="Public Sans" w:hAnsi="Public Sans"/>
        <w:color w:val="5B636C"/>
        <w:sz w:val="12"/>
        <w:szCs w:val="12"/>
      </w:rPr>
      <w:instrText xml:space="preserve">PAGE</w:instrText>
    </w:r>
    <w:r>
      <w:rPr>
        <w:rFonts w:ascii="Public Sans" w:cs="Public Sans" w:eastAsia="Public Sans" w:hAnsi="Public Sans"/>
        <w:color w:val="5B636C"/>
        <w:sz w:val="12"/>
        <w:szCs w:val="12"/>
      </w:rPr>
      <w:fldChar w:fldCharType="separate"/>
    </w:r>
    <w:r>
      <w:rPr>
        <w:rFonts w:ascii="Public Sans" w:cs="Public Sans" w:eastAsia="Public Sans" w:hAnsi="Public Sans"/>
        <w:color w:val="5B636C"/>
        <w:sz w:val="12"/>
        <w:szCs w:val="12"/>
      </w:rPr>
      <w:fldChar w:fldCharType="end"/>
    </w:r>
    <w:r>
      <w:rPr>
        <w:rFonts w:ascii="Public Sans" w:cs="Public Sans" w:eastAsia="Public Sans" w:hAnsi="Public Sans"/>
        <w:color w:val="5B636C"/>
        <w:sz w:val="12"/>
        <w:szCs w:val="12"/>
      </w:rPr>
      <w:t xml:space="preserve"> of </w:t>
    </w:r>
    <w:r>
      <w:rPr>
        <w:rFonts w:ascii="Public Sans" w:cs="Public Sans" w:eastAsia="Public Sans" w:hAnsi="Public Sans"/>
        <w:color w:val="5B636C"/>
        <w:sz w:val="12"/>
        <w:szCs w:val="12"/>
      </w:rPr>
      <w:fldChar w:fldCharType="begin"/>
    </w:r>
    <w:r>
      <w:rPr>
        <w:rFonts w:ascii="Public Sans" w:cs="Public Sans" w:eastAsia="Public Sans" w:hAnsi="Public Sans"/>
        <w:color w:val="5B636C"/>
        <w:sz w:val="12"/>
        <w:szCs w:val="12"/>
      </w:rPr>
      <w:instrText xml:space="preserve">NUMPAGES</w:instrText>
    </w:r>
    <w:r>
      <w:rPr>
        <w:rFonts w:ascii="Public Sans" w:cs="Public Sans" w:eastAsia="Public Sans" w:hAnsi="Public Sans"/>
        <w:color w:val="5B636C"/>
        <w:sz w:val="12"/>
        <w:szCs w:val="12"/>
      </w:rPr>
      <w:fldChar w:fldCharType="separate"/>
    </w:r>
    <w:r>
      <w:rPr>
        <w:rFonts w:ascii="Public Sans" w:cs="Public Sans" w:eastAsia="Public Sans" w:hAnsi="Public Sans"/>
        <w:color w:val="5B636C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ublic Sans" w:cs="Public Sans" w:eastAsia="Public Sans" w:hAnsi="Public Sans"/>
        <w:color w:val="14171A"/>
        <w:sz w:val="24"/>
        <w:szCs w:val="24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3a83d6c674cb7c39ba15c9aaac290c7adf9680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 Bill 28-12 — Payroll Allocation Act of 2026</dc:title>
  <dc:creator>Parliament of the Totemian Empire</dc:creator>
  <cp:lastModifiedBy>Un-named</cp:lastModifiedBy>
  <cp:revision>1</cp:revision>
  <dcterms:created xsi:type="dcterms:W3CDTF">2026-11-02T02:41:49.735Z</dcterms:created>
  <dcterms:modified xsi:type="dcterms:W3CDTF">2026-11-02T02:41:49.735Z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