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25-3</w:t>
      </w:r>
    </w:p>
    <w:p>
      <w:pPr>
        <w:spacing w:after="60"/>
        <w:jc w:val="center"/>
      </w:pPr>
      <w:r>
        <w:rPr>
          <w:rFonts w:ascii="Inter" w:cs="Inter" w:eastAsia="Inter" w:hAnsi="Inter"/>
          <w:b/>
          <w:bCs/>
          <w:color w:val="14171A"/>
          <w:sz w:val="33"/>
          <w:szCs w:val="33"/>
        </w:rPr>
        <w:t xml:space="preserve">Civil Code Reform Act of 2026</w:t>
      </w:r>
    </w:p>
    <w:p>
      <w:pPr>
        <w:spacing w:after="120"/>
        <w:jc w:val="center"/>
      </w:pPr>
      <w:r>
        <w:rPr>
          <w:rFonts w:ascii="Inter" w:cs="Inter" w:eastAsia="Inter" w:hAnsi="Inter"/>
          <w:i/>
          <w:iCs/>
          <w:color w:val="5B636C"/>
          <w:sz w:val="17"/>
          <w:szCs w:val="17"/>
        </w:rPr>
        <w:t xml:space="preserve">An Act to amend the Civil Code of the Totemian Empire to reform bail, establish limitation periods for criminal charges and punitive filings, regulate official recognition fees for political parties and religions, establish civil marriage and divorce fees, clarify assault and violence penalties, clarify contempt of court and corruption penalties, provide enhanced penalties for members of the Imperial Armed Forces who violate the laws of the Totemian Empire, authorize official bank accounts for registered political organizations and registered religious organizations, authorize limited demographic data sharing with such organizations concerning their own recorded members and followers, establish official set prices for certain valuable materials, and regulate currency conversion into Totemic Shillengs.</w:t>
      </w:r>
    </w:p>
    <w:p>
      <w:pPr>
        <w:spacing w:after="120"/>
        <w:jc w:val="center"/>
      </w:pPr>
      <w:r>
        <w:rPr>
          <w:rFonts w:ascii="Inter" w:cs="Inter" w:eastAsia="Inter" w:hAnsi="Inter"/>
          <w:b/>
          <w:bCs/>
          <w:color w:val="5B636C"/>
          <w:sz w:val="18"/>
          <w:szCs w:val="18"/>
        </w:rPr>
        <w:t xml:space="preserve">BILL · 25TH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Workers' Reformist Party</w:t>
      </w:r>
    </w:p>
    <w:p>
      <w:pPr>
        <w:spacing w:after="300"/>
        <w:jc w:val="center"/>
      </w:pPr>
      <w:r>
        <w:rPr>
          <w:rFonts w:ascii="Inter" w:cs="Inter" w:eastAsia="Inter" w:hAnsi="Inter"/>
          <w:i/>
          <w:iCs/>
          <w:color w:val="5B636C"/>
          <w:sz w:val="17"/>
          <w:szCs w:val="17"/>
        </w:rPr>
        <w:t xml:space="preserve">Introduced May 31st,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Citation, Commencement, and General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may be cited as the Civil Code Reform Act of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shall come into force immediately upon receiving Imperial Assent.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Act amends the Civil Code of the Totemian Empire only.</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this Act and in every amendment made by this Act, unless otherwise stated: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“SL” means Totemic shillengs.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“calendar day” means a full ordinary day counted by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When a deadline is stated in calendar days, the day after the relevant event shall be counted as calendar day one.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filing made on the final permitted calendar day shall be valid if it is submitted before the end of that calendar day.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“Court” includes any lawful court, tribunal, judge, magistrate, or judicial officer exercising lawful authority under Totemian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“Court chamber” includes any physical courtroom, court location, Discord channel, digital forum, voice channel, written proceeding, or other official area designated for judicial business.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Act shall limit the authority of the Emperor where such authority is preserved by the Constitution or any superior law of the Totemian Empire.</w:t>
      </w:r>
    </w:p>
    <w:p>
      <w:pPr>
        <w:keepNext/>
        <w:spacing w:after="150" w:before="330"/>
        <w:jc w:val="left"/>
      </w:pPr>
      <w:r>
        <w:rPr>
          <w:rFonts w:ascii="Inter" w:cs="Inter" w:eastAsia="Inter" w:hAnsi="Inter"/>
          <w:b/>
          <w:bCs/>
          <w:i w:val="false"/>
          <w:iCs w:val="false"/>
          <w:strike w:val="false"/>
          <w:color w:val="14171A"/>
          <w:sz w:val="33"/>
          <w:szCs w:val="33"/>
        </w:rPr>
        <w:t xml:space="preserve">Chapter 2 — Bail and Legal Proceedings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Article XVII of the Civil Code is repealed and replaced with the following: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XVII: Bail and Legal Proceedings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Definition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is a temporary payment made to the Totemian Government to secure a person’s required appearance before a court.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2: Availability of Bail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may be made available for petty crimes or other eligible offenses based on the decision of a judge.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Default and Maximum Bail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default bail amount shall be 3,500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bail amount shall exceed 150,000 SL, unless a later Act of Parliament expressly authorizes a higher maximum.</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Factors for Setting Bail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shall not be set arbitrarily.</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setting bail, the court or lawful officer shall consider:</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severity of the crime or crimes alleged;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number of charges filed;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whether the accused has previously failed to appear before a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whether the accused is likely to flee or refuse court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whether the accused poses a credible risk to victims, witnesses, court officials, national security, or public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whether the case involves treason, corruption, assassination, coup activity, or other serious national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any relevant information presented in the case that reasonably supports a higher or lower bail amount.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Holding of Bail Payments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shall be held by the Ministry of Finance under the collections account unless the Ministry establishes a more specific lawful account for court-held funds.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remains the property of the person who paid it unless it is lawfully forfeited under this Article.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Return of Bail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accused appears at the required court date and time, follows all lawful court orders, and the court matter is truly over, the Totemian Government shall return the bail payment.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matter is truly over when: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final judgment has been issued;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court has dismissed the case;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all required appearances connected to that bail payment are complete; 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court has otherwise declared that the accused has no further appearance obligation in that matter.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Forfeiture of Bail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accused fails to appear at the required court date and time without lawful excuse accepted by the court, the bail payment shall be forfeited and kept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Forfeited bail shall remain in government possession and may be retained in the collections account unless otherwise directed by lawful financial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Bail forfeiture under this Article is separate from any fine, jail sentence, exile, or other punishment imposed after judgment.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Adjustment of Bail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court may reduce, increase, deny, or restore bail when new relevant information is presented.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bail amount may exceed the maximum established by this Article.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3 - Limitation Period for Criminal Charges and Punitive Filings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is amended by inserting the following Article after Article XIX:</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 Limitation Period for Criminal Charges and Punitive Filings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General Limitation Period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Except for offenses exempted under Section 3 of this Article, no criminal charge, punitive court filing, or request for punishment may proceed unless it is filed within ninety (90) calendar days from the first alleged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first alleged offense means the first act, omission, threat, attack, theft, statement, filing, or other conduct that forms the basis of the charge or punishment request.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no charge, punitive filing, or punishment request is filed within ninety (90) calendar days, then on calendar day ninety-one (91), the matter shall be time-barred.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time-barred matter shall not be used to seek punishment under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Evidence From Time-Barred Matters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Evidence from a time-barred matter may not be used as the basis for a new punishment, charge, or fine.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Evidence from a time-barred matter may still be considered by a court only when: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it is necessary to defend against a timely charge;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it explains the context of a timely offense;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it is relevant to credibility, intent, or motive in a timely case;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the court determines that its use would not unfairly revive a barred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Exempt Offenses and Separate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Treason, corruption, assassination attempts, crimes against the Crown, and sabotage shall be exempt from time limitations.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separate offense shall have its own ninety (90) calendar day limitation period, unless the offense is exempt from time limitations under this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continuing pattern of conduct shall not restart the limitation period for earlier acts, but new separate acts may be charged if they are filed within ninety (90) calendar days of those new acts.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shall prevent a court from considering exempt offenses at any time where such offenses are lawfully charged or raised before the court.</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4 - Political Party and Religion Recognition Fees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is amended by inserting the following Article after Article XX:</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XXI: Recognition of Political Parties and Religions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Application for Recognition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party or religion may apply for official recognition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Official recognition means that the organization is recognized by the Totemian Government as an official political party or official religion for public, administrative, electoral, ceremonial, or legal purposes.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Official recognition shall not give the Totemian Government authority to manage the internal leadership, internal rules, internal elections, internal doctrine, membership discipline, or internal bylaws of the political party or religion.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Recognition Fee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approved political party or religion shall pay a recognition fee of 500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recognition fee shall be collected only after the application has been approved.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shall not collect the recognition fee before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an application is rejected, no recognition fee shall be owed for that rejected application.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recognition fee must be paid in full before official recognition takes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fee is not paid in full, the political party or religion shall not be recognized as official.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There shall be no recurring maintenance fee for a recognized political party or recognized religion.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One Payer Requirement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recognition fee must be paid by one individual filer or one individual payer.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shall not accept separated bundled donations, pooled partial payments, or multiple-person split payments for the recognition fee.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person paying the recognition fee shall be treated as the filer of the recognition payment for administrative purposes.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Internal Self-Government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After recognition, internal matters of the political party or religion shall be governed by its members and by any internal bylaws, codes, rules, or agreements they adopt.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Private and Unofficial Activity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shall prohibit private belief, private worship, private political discussion, private association, or unofficial organization.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unrecognized political group or religion may exist privately, but it shall not receive official recognition from the Totemian Government unless this Article is satisfied.</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5 — Marriage and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is amended by inserting the following Article after Article XXI: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XXII: Civil Marriage and Divorce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1: Civil Marriage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civil marriage is a lawful union between two individuals who:</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consent to be married;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are both of legal age in Totemia;</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are not already married under Totemian law;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are not prohibited from marrying by any superior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Sex, gender, sexuality, or identity shall not prevent two otherwise eligible individuals from entering into a civil marriage.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Article, legal age means the age of consent recognized by Totemian law.</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Marriage Fee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fee to register a civil marriage shall be 125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civil marriage shall not be officially recognized until the marriage fee is paid.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Either spouse may initiate a divorce.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Consent of both spouses shall not be required for divorce if one spouse lawfully initiates it and the divorce fee is paid.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fee to register a divorce shall be 125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the divorce fee is paid and the divorce is filed, the marriage shall be dissolved under Totemian civil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may record the marriage or divorce for administrative purposes.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Royal Marriages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Marriages involving the royal family shall be exempt from these regulations.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Religious Non-Compulsion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shall require any religion, priest, minister, church, temple, or religious body to perform, bless, approve, or recognize a marriage contrary to its own doctrine.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6 — Assault, Violence, and Attacks Against Unarmed Persons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Article V of the Civil Code is repealed and replaced with the following:</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V: Assault and Violence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Definition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Assault and violence means an unlawful physical attack, attempted physical attack, threat of immediate physical harm, harassment involving force or intimidation, or other violent conduct against another person.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Court Discretion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 shall have discretion to determine punishment based on the circumstances of the case.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deciding punishment for assault or violence, the court may consider:</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what caused the situation to occur;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whether the accused acted in self-defense or defense of others;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whether the accused provoked, escalated, or exploited the conflict;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whether the accused had weapons, armor, resources, rank, authority, or other advantages over the victim;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whether the victim had a realistic method of defense;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whether the victim was unarmed;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(g) whether the offense was minor, severe, repeated, organized, or politically motivated;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(h) whether the accused abused a position of power, wealth, command, or public trust;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 whether restitution, apology, community service, fine, jail time, or another lawful penalty would best serve justice.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Ordinary Assault or Violence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ordinary assault or violence, the court may impose: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warning;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community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restitution;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 fine not exceeding 5,000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jail time where justified by the seriousness of the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any combination of the above, where lawful.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Aggravated Attack Against an Unarmed Person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aggravated attack against an unarmed person occurs when: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victim was unarmed;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perpetrator was heavily armored, armed with weapons, or otherwise had a major combat advantage;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victim had no realistic method of defense due to their tools, lack of armor, lack of weapons, location, resources, or other relevant disadvantage.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found responsible for an aggravated attack against an unarmed person may be punished by: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 fine not exceeding 8,000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community service not exceeding </w:t>
            </w:r>
            <w:r>
              <w:rPr>
                <w:rFonts w:ascii="Public Sans" w:cs="Public Sans" w:eastAsia="Public Sans" w:hAnsi="Public Sans"/>
                <w:b/>
                <w:bCs/>
                <w:i w:val="false"/>
                <w:iCs w:val="false"/>
                <w:strike w:val="false"/>
                <w:color w:val="14171A"/>
                <w:sz w:val="24"/>
                <w:szCs w:val="24"/>
              </w:rPr>
              <w:t xml:space="preserve">three (3)</w:t>
            </w:r>
            <w:r>
              <w:rPr>
                <w:rFonts w:ascii="Public Sans" w:cs="Public Sans" w:eastAsia="Public Sans" w:hAnsi="Public Sans"/>
                <w:b w:val="false"/>
                <w:bCs w:val="false"/>
                <w:i w:val="false"/>
                <w:iCs w:val="false"/>
                <w:strike w:val="false"/>
                <w:color w:val="14171A"/>
                <w:sz w:val="24"/>
                <w:szCs w:val="24"/>
              </w:rPr>
              <w:t xml:space="preserve"> hours;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jail time not exceeding </w:t>
            </w:r>
            <w:r>
              <w:rPr>
                <w:rFonts w:ascii="Public Sans" w:cs="Public Sans" w:eastAsia="Public Sans" w:hAnsi="Public Sans"/>
                <w:b/>
                <w:bCs/>
                <w:i w:val="false"/>
                <w:iCs w:val="false"/>
                <w:strike w:val="false"/>
                <w:color w:val="14171A"/>
                <w:sz w:val="24"/>
                <w:szCs w:val="24"/>
              </w:rPr>
              <w:t xml:space="preserve">twenty (20)</w:t>
            </w:r>
            <w:r>
              <w:rPr>
                <w:rFonts w:ascii="Public Sans" w:cs="Public Sans" w:eastAsia="Public Sans" w:hAnsi="Public Sans"/>
                <w:b w:val="false"/>
                <w:bCs w:val="false"/>
                <w:i w:val="false"/>
                <w:iCs w:val="false"/>
                <w:strike w:val="false"/>
                <w:color w:val="14171A"/>
                <w:sz w:val="24"/>
                <w:szCs w:val="24"/>
              </w:rPr>
              <w:t xml:space="preserve"> calendar days;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restitution to the victim;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any combination of the above, where lawful.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Cumulative Charging and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offense under Section 4 of this Article may be charged in addition to ordinary assault or violence under Section 3 of this Article.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unlawfully attacks an unarmed person may therefore be charged with both: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ordinary assault or violence; and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aggravated attack against an unarmed person.</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This Article shall replace the prior Civil Code offense titled “No Use of Force Against Unarmed Individuals.”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keepNext/>
        <w:spacing w:after="150" w:before="330"/>
        <w:jc w:val="left"/>
      </w:pPr>
      <w:r>
        <w:rPr>
          <w:rFonts w:ascii="Inter" w:cs="Inter" w:eastAsia="Inter" w:hAnsi="Inter"/>
          <w:b/>
          <w:bCs/>
          <w:i w:val="false"/>
          <w:iCs w:val="false"/>
          <w:strike w:val="false"/>
          <w:color w:val="14171A"/>
          <w:sz w:val="33"/>
          <w:szCs w:val="33"/>
        </w:rPr>
        <w:t xml:space="preserve">Chapter 7 - Legal Conduct, Contempt of Court, and Corruption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Article XIII of the Civil Code is amended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existing line stating “Contempt of Court: 5 days in jail” is repealed and replaced with the contempt of court provisions created by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the existing line stating “No Use of Force Against Unarmed Individuals: 5 days in jail” is repealed;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the existing line stating “Corruption: 1 week in jail” is repealed and replaced with the corruption provisions created by this Chapter;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the existing Article XIII provisions concerning Extortion and Desecration of National Symbols shall remain in force unless separately amended or repealed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The contempt of court and corruption provisions created by this Chapter shall be inserted into Article XIII without removing the existing Extortion and Desecration of National Symbols provisions.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XIII: Legal Conduct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Contempt of Court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Contempt of court means conduct that disrespects, defies, obstructs, disrupts, or undermines the authority, order, dignity, or operation of a lawful court.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Contempt of court includes: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refusing to obey a lawful order of the judge or court;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interrupting an active court session;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repeatedly speaking out of turn after being warned;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disrespecting the judge inside court chambers;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refusing to stop disruptive conduct after warning;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knowingly interfering with court procedure;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attempting to derail a court session through spam, disorder, mockery, or bad-faith disruption;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disruptive or disrespectful conduct inside physical or digital court chambers, whether the court is active or inactive, when the conduct is connected to the authority or functioning of the court.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Before a person may be punished for contempt of court during an active court session: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person must receive at least two (2) warnings;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the warnings must be issued by the judge or lawful presiding judicial officer;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after two warnings, the judge or lawful presiding judicial officer may hold the person in contempt of court;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no separate court case shall be required for contempt of court committed in court chambers;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punishment for contempt of court may be issued during the same court session or in a future session concerning the contempt.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Punishment for contempt of court may include: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removal from the court chamber;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loss of speaking privilege during that session;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a fine not exceeding 3,000 SL;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jail time not exceeding fourteen (14) calendar days;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any combination of the above, where lawful.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punished for contempt of court may appeal the contempt punishment.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appeal for contempt of court must be filed within sixty (60) calendar days from the date the contempt punishment was issued.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no appeal is filed within sixty (60) calendar days, the contempt punishment shall remain final.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Corruption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Corruption means the misuse of public office, public authority, military authority, judicial authority, government funds, government property, official information, or official influence for unlawful, dishonest, private, factional, or improper benefit.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Corruption includes: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bribery;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embezzlement;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misuse of government money;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misuse of public property;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abuse of official power;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knowingly issuing unlawful favors through office;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taking payment or reward for an official act unless authorized by law;</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using public office to improperly benefit oneself, allies, friends, parties, religions, businesses, or factions;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 concealing official wrongdoing;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(j) obstructing lawful accountability for official misconduct.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found guilty of corruption may be punished by: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jail time not exceeding forty (40) calendar days;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a fine not exceeding four hundred thousand (400,000) SL per corruption act;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removal from office, where lawful;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disqualification from office, where lawful;</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restitution of stolen, misused, or unlawfully obtained funds;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forfeiture of unlawful gains, where authorized by law;</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exile or execution, where lawful;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(h) any combination of the above, where lawful.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separate corruption act may be charged and punished separately.</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Fines for corruption may stack per corruption act.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Courts shall have discretionary power to decide the proper jail time, fine, restitution, and other lawful penalties based on the seriousness of each corruption act.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deciding punishment for corruption, the court may consider: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the amount of money or property involved;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the rank or office of the accused;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the number of people harmed;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whether the corruption affected elections, courts, military affairs, national security, treasury funds, or public trust; and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whether the accused cooperated, confessed, concealed evidence, or repeated the offense.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Imperial Assent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Due to the severity of corruption and its effect on public trust, a corruption charge may not proceed unless it receives Imperial Assent or approval from an official delegated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punishment for corruption may not be imposed unless the corruption charge has satisfied the approval requirement under this Section.</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8 - Enhanced Penalties for Members of the Imperial Armed Forces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is amended by inserting the following Article after Article XXII: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XXIII: Enhanced Penalties for Members of the Imperial Armed Forces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General Rule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 member of the Imperial Armed Forces is expected to act with greater discipline, restraint, loyalty, and respect for Totemian law because such member represents the Totemian Empire by virtue of military membership.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This Article applies to any person who was a member of the Imperial Armed Forces at the time of the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This Article applies regardless of whether the member was: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on duty or off duty;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in uniform or out of uniform;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using military equipment or not using military equipment;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acting under military orders or acting personally;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inside or outside a military area.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Membership in the Imperial Armed Forces alone is sufficient for the court to consider an enhanced penalty under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Enhanced Penalty Authority</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1. If a member of the Imperial Armed Forces violates the Civil Code, the court may impose an enhanced penalty.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When an enhanced penalty is applied to a monetary fine, the court may increase the fine up to five (5) times the ordinary fine that could have been imposed.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When an enhanced penalty is applied to community service, the court may increase the service requirement up to two (2) times the ordinary community service requirement.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When an enhanced penalty is applied to jail time, the court may increase the jail time up to two (2) times the ordinary jail time, unless a superior law imposes a lower maximum.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The court shall state on the record that the enhanced penalty is being applied because the offender was a member of the Imperial Armed Forces at the time of the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6. Enhanced penalties under this Article may be added to other lawful punishments but shall not exceed the maximum authority allowed by the Constitution, the Civil Code, or any superior law.</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9 - Political Organization and Religious Organization Bank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is amended by inserting the following Article after Article XXIII: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XXIV: Political Organization and Religious Organization Bank Accounts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this Article is to authorize registered political organizations and registered religious organizations to hold official bank accounts for lawful organizational purposes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Definitions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purposes of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“Political Organization Bank Account” or “POBA” means an official bank account created or recognized for a registered political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“Religious Organization Bank Account” or “ROBA” means an official bank account created or recognized for a registered religious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“registered political organization” means a political party, political group, or political organization that has been officially registered or recognized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“registered religious organization” means a religion, church, temple, religious body, or religious organization that has been officially registered or recognized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Eligibility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registered political organizations may receive or operate a POBA.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registered religious organizations may receive or operate a ROBA.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unregistered political organization or unregistered religious organization shall not be entitled to an official organization bank account under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Creation and Naming of Accounts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create, approve, maintain, or recognize Political Organization Bank Accounts and Religious Organization Bank Accounts.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POBA shall be named using the registered name of the political organization and shall be identified as a Political Organization Bank Account.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ROBA shall be named using the registered name of the religious organization and shall be identified as a Religious Organization Bank Account.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Lawful 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POBA or ROBA may only be used for lawful organizational purposes.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Lawful organizational purposes may include: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receiving lawful donations;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paying lawful organization expenses;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funding lawful public, political, religious, administrative, charitable, ceremonial, or organizational activities;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holding organization funds separate from personal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making payments authorized by the organization’s lawful leadership or internal rules.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Prohibited Use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POBA or ROBA shall not be used for: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personal enrichment;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concealing private funds as organization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bribery, corruption, fraud, money laundering, or unlawful influence;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 financing unlawful conduct;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 avoiding fines, debts, taxes, penalties, or lawful government collection;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 any purpose prohibited by the Civil Code, the Constitution, or any superior law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Authorized Representatives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registered political organization or registered religious organization may designate authorized representatives to manage its POBA or ROBA.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require the organization to identify its authorized representatives before allowing access to the account.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who is not an authorized representative shall not control, withdraw from, transfer from, or manage a POBA or ROBA unless lawful authority is granted.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Records and Accountability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keep records of POBA and ROBA balances, deposits, withdrawals, transfers, and authorized representatives for lawful administrative and financial purposes.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POBA or ROBA remains subject to lawful investigation, court order, audit, freeze, seizure, or other financial action where authorized by Totemian law.</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9: Loss of Registration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political organization or religious organization loses official registration or recognition, the Ministry of Finance may suspend, restrict, freeze, close, or convert the organization’s POBA or ROBA according to lawful financial procedure.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Loss of registration shall not erase lawful debts, fines, penalties, investigations, or financial obligations connected to the account.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10: No Automatic Public Funding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creation or recognition of a POBA or ROBA shall not automatically entitle any political organization or religious organization to public funding, grants, subsidies, or government payments.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Public funding may only be provided if separately authorized by law, lawful budget, grant, treasury allocation, or other valid financial authority.</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10 - Demographic Data Sharing</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is amended by inserting the following Article after Article XXIV:</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XXV: Demographic Data Sharing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Purpose and Legal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this Article is to authorize the Totemian Government to share certain demographic data with registered political organizations and registered religious organizations.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Such sharing shall only concern persons recorded as party members, followers, members, or affiliates of the organization receiving the data.</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Any demographic data shared in accordance with this Article shall be considered lawfully shared by the Totemian Government.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Limited Meaning of Demographic Data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only, “demographic data” shall mean: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gender;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wealth;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 monthly income.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definition of “demographic data” under this Article shall apply only to this Article and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definition of “demographic data” under this Article shall not apply to any other Act, Article, Imperial Order, law, regulation, future law, or legal matter unless expressly adopted.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Authoritative Government Database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For the purposes of this Article only, “authoritative government database” shall mean the official backend database used by the Totemian Government as the controlling source for the data displayed on the official government website.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 demographic data is shared under this Article, the authoritative government database shall be the controlling source of that data.</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official government website may serve as the front-facing display for demographic data shared under this Article, including through the respective workspace of the receiving registered political organization or registered religious organization.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Financial Data</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only, “wealth” shall mean a person’s recorded bank balance in the authoritative government database.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only, “monthly income” shall mean a person’s recorded monthly income in the authoritative government database.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Registered Political Organizations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“registered political organization” means a political party, political group, or political organization that has been officially registered or recognized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“party member” means a person recorded as belonging to, being a member of, or being affiliated with a registered political organization.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is authorized to share demographic data with a registered political organization concerning that registered political organization’s own party members.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registered political organization shall not receive demographic data concerning persons who are not recorded as its party members.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Registered Religious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“registered religious organization” means a religion, church, temple, religious body, faith, or religious organization that has been officially registered or recognized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“follower” means a person recorded as belonging to, following, being a member of, or being affiliated with a registered religious organization.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is authorized to share demographic data with a registered religious organization concerning that registered religious organization’s own followers.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registered religious organization shall not receive demographic data concerning persons who are not recorded as its followers.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Method of Access and Download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Demographic data shared under this Article shall be drawn from the authoritative government database.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Demographic data shared under this Article may be displayed through the official government website.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Demographic data shared under this Article may be made available inside the respective workspace of the registered political organization or registered religious organization receiving the data.</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same page of the official government website that displays demographic data under this Article may also provide the receiving registered political organization or registered religious organization with the ability to download such data in CSV format.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CSV download provided under this Section shall contain only the demographic data that the receiving registered political organization or registered religious organization is authorized to access under this Article.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availability of a CSV download shall not expand the scope of demographic data that may be shared under this Article.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Lawful Disclosure and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Notwithstanding Article XV or any other provision of the Civil Code, the sharing, display, and CSV download of demographic data under this Article shall be lawful disclosure by the Totemian Government.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sharing, display, and CSV download of demographic data under this Article shall not be considered doxxing, leaking information, or unlawful disclosure under the Civil Code when done in accordance with this Article.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shall authorize a registered political organization or registered religious organization to receive demographic data concerning persons outside of its own party members or followers.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Nothing in this Article shall authorize the sharing, display, or CSV download of demographic data outside the scope of this Article.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11 - Currency Conversion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is amended by inserting the following Article after Article XXV:</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XXVI: Currency Conversion and Official Set Prices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Purpose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purpose of this Article is to set the official prices for certain valuable materials and explain how those materials may be converted into SL through the Totemian Government.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Article is meant to make currency conversion clear, controlled, and worth the Government’s time.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Official Set Prices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the following prices shall be official: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one (1) diamond equals one hundred (100) SL;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one (1) netherite ingot equals one thousand (1,000) SL.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These prices shall be used by the Ministry of Finance, the Imperial Bank of Totemia, and any other Imperial Bank authorized to exchange materials for SL.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Materials That May Be Converted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Only the following materials may be converted into SL under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diamonds;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netherite ingots.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Where Conversion May Happen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may convert eligible materials into SL at the Imperial Bank of Totemia in New Totemgrad or at another Imperial Bank authorized by the Totemian Government.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or an authorized Imperial Bank may set basic procedures for checking, accepting, recording, storing, or rejecting materials.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Minimum Conversion Amount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conversion may only happen if the person is converting at least three thousand (3,000) SL worth of one single material type.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Different materials may not be combined to reach the 3,000 SL minimum.</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example: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diamonds require at least thirty (30) diamonds;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 netherite requires at least three (3) netherite ingots.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may not combine diamonds, and netherite together to reach the minimum. The minimum must be met by one material type by itself.</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Issuing SL After Conversion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When a lawful conversion is accepted, the Totemian Government shall first take possession of the materials being converted.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materials shall then be stored by the Totemian Government, the Ministry of Finance, the Imperial Bank of Totemia, or another authorized Imperial Bank.</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After the materials are received, accepted, and stored, the Totemian Government shall issue new SL equal to the official value of the converted materials.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Article, issuing new SL means creating, printing, or entering the new currency into the official banking system.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newly issued SL shall then be sent to the bank account of the person who converted the materials, unless the Ministry of Finance lawfully approves another account.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shall not issue, print, create, or send SL before the converted materials are received, accepted, and stored.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the conversion is accepted and the SL is issued, the converted materials shall remain property of the Totemian Government.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Monthly Conversion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may convert more than fifteen thousand (15,000) SL worth of materials in one calendar month.</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limit applies to the total value of all conversions made by that person during the month.</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may make more than one conversion in the same month, but each conversion must still meet the 3,000 SL minimum by itself, and the total converted value may not go over 15,000 SL.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a person reaches the 15,000 SL monthly limit, they may not convert more materials until the next calendar month.</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8: Anti-Duplication Rule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minimum conversion amount and monthly limit exist to protect the economy from duplication, exploits, unlawful material creation, inflation, and abuse of currency issuance.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or an authorized Imperial Bank may delay, investigate, or deny a conversion if there is reasonable suspicion that the materials came from duplication, exploits, theft, fraud, unlawful spawning, or another unlawful source.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Government is not required to convert materials that are reasonably suspected to be unlawful, duplicated, fraudulently obtained, or connected to a violation of Totemian law.</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9: Records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or an authorized Imperial Bank may keep records of conversions.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These records may include the person converting materials, the type of material converted, the amount converted, the SL issued, the date of conversion, and the account that received the SL.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These records may be used for banking, auditing, anti-duplication enforcement, financial administration, taxation, court cases, or other lawful government purposes.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10: No Right to Conversion Outside This Article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has a right to demand conversion unless the conversion follows this Article.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Government may refuse a conversion if it is below the minimum amount, above the monthly limit, based on mixed materials, based on ineligible materials, or otherwise violates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11: Financial Procedures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create additional procedures needed to enforce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Those procedures may not override the official prices, the 3,000 SL minimum, the 15,000 SL monthly limit, or the rule requiring SL to be issued only after materials are received, accepted, and stored.</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12 - Conforming Provisions and Organization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updated to reflect the amendments and new Articles created by this Act.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clarity, this Act replaces Article V, amends Article XIII, replaces Article XVII, and creates Articles XX through XXVI.</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clarity, the new Articles created by this Act shall be organized as follows: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Article XX: Limitation Period for Criminal Charges and Punitive Filings;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Article XXI: Recognition of Political Parties and Religions;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Article XXII: Civil Marriage and Divorce;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Article XXIII: Enhanced Penalties for Members of the Imperial Armed Forces;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(e) Article XXIV: Political Organization and Religious Organization Bank Accounts;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 Article XXV: Demographic Data Sharing;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(g) Article XXVI: Currency Conversion and Official Set Prices.</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Any Civil Code provision inconsistent with this Act is repealed to the extent of the inconsistency.</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The Ministry of Finance may create or designate a specific collections account, bail account, marriage account, divorce account, party recognition account, religion recognition account, Political Organization Bank Account, Religious Organization Bank Account, currency conversion account, material reserve account, or other lawful financial account for funds, materials, or property collected or held under this Act.</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Until such accounts are created, funds collected under this Act may be held under the existing collections account, and materials collected under this Act may be held by the Totemian Government through a lawful storage or reserve system.</w:t>
      </w:r>
    </w:p>
    <w:p>
      <w:pPr>
        <w:pStyle w:val="ListParagraph"/>
        <w:numPr>
          <w:ilvl w:val="0"/>
          <w:numId w:val="2"/>
        </w:numPr>
        <w:spacing w:after="140"/>
        <w:jc w:val="left"/>
      </w:pPr>
      <w:r>
        <w:rPr>
          <w:rFonts w:ascii="Public Sans" w:cs="Public Sans" w:eastAsia="Public Sans" w:hAnsi="Public Sans"/>
          <w:b w:val="false"/>
          <w:bCs w:val="false"/>
          <w:i w:val="false"/>
          <w:iCs w:val="false"/>
          <w:strike w:val="false"/>
          <w:color w:val="14171A"/>
          <w:sz w:val="24"/>
          <w:szCs w:val="24"/>
        </w:rPr>
        <w:t xml:space="preserve">This Act shall apply only to filings, bail decisions, registrations, marriages, divorces, contempt actions, corruption charges, punishments, bank account actions, demographic data sharing, website displays, CSV downloads, currency conversions, official set price determinations, material exchanges, and currency issuances occurring on or after the date this Act comes into force.</w:t>
      </w:r>
    </w:p>
    <w:p>
      <w:pPr>
        <w:keepNext/>
        <w:spacing w:after="150" w:before="330"/>
        <w:jc w:val="left"/>
      </w:pPr>
      <w:r>
        <w:rPr>
          <w:rFonts w:ascii="Inter" w:cs="Inter" w:eastAsia="Inter" w:hAnsi="Inter"/>
          <w:b/>
          <w:bCs/>
          <w:i w:val="false"/>
          <w:iCs w:val="false"/>
          <w:strike w:val="false"/>
          <w:color w:val="14171A"/>
          <w:sz w:val="33"/>
          <w:szCs w:val="33"/>
        </w:rPr>
        <w:t xml:space="preserve">END OF ACT</w:t>
      </w:r>
    </w:p>
    <w:p>
      <w:pPr>
        <w:spacing w:after="140"/>
        <w:jc w:val="left"/>
      </w:pPr>
    </w:p>
    <w:p>
      <w:pPr>
        <w:keepNext/>
        <w:spacing w:before="600"/>
        <w:jc w:val="center"/>
      </w:pPr>
      <w:r>
        <w:drawing>
          <wp:inline distT="0" distB="0" distL="0" distR="0">
            <wp:extent cx="2857500" cy="142875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FD80B9DE-B149-21E4-FA0C-6577B89502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25-3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25-3 — Civil Code Reform Act of 2026</dc:title>
  <dc:creator>Parliament of the Totemian Empire</dc:creator>
  <cp:lastModifiedBy>Un-named</cp:lastModifiedBy>
  <cp:revision>1</cp:revision>
  <dcterms:created xsi:type="dcterms:W3CDTF">2026-10-23T06:38:58.619Z</dcterms:created>
  <dcterms:modified xsi:type="dcterms:W3CDTF">2026-10-23T06:38:58.619Z</dcterms:modified>
</cp:coreProperties>
</file>

<file path=docProps/custom.xml><?xml version="1.0" encoding="utf-8"?>
<Properties xmlns="http://schemas.openxmlformats.org/officeDocument/2006/custom-properties" xmlns:vt="http://schemas.openxmlformats.org/officeDocument/2006/docPropsVTypes"/>
</file>