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28-5</w:t>
      </w:r>
    </w:p>
    <w:p>
      <w:pPr>
        <w:spacing w:after="60"/>
        <w:jc w:val="center"/>
      </w:pPr>
      <w:r>
        <w:rPr>
          <w:rFonts w:ascii="Inter" w:cs="Inter" w:eastAsia="Inter" w:hAnsi="Inter"/>
          <w:b/>
          <w:bCs/>
          <w:color w:val="14171A"/>
          <w:sz w:val="33"/>
          <w:szCs w:val="33"/>
        </w:rPr>
        <w:t xml:space="preserve">Consent &amp; Marriage Correction Act of 2026</w:t>
      </w:r>
    </w:p>
    <w:p>
      <w:pPr>
        <w:spacing w:after="120"/>
        <w:jc w:val="center"/>
      </w:pPr>
      <w:r>
        <w:rPr>
          <w:rFonts w:ascii="Inter" w:cs="Inter" w:eastAsia="Inter" w:hAnsi="Inter"/>
          <w:i/>
          <w:iCs/>
          <w:color w:val="5B636C"/>
          <w:sz w:val="17"/>
          <w:szCs w:val="17"/>
        </w:rPr>
        <w:t xml:space="preserve">An Act to amend the Civil Code of the Totemian Empire concerning the age of sexual consent, close-in-age exceptions, incest, civil marriage, marriage and divorce registration fees, graduated penalties, corrective education, and sexual-offense registration.</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22nd, 2026</w:t>
      </w:r>
    </w:p>
    <w:p>
      <w:pPr>
        <w:keepNext/>
        <w:spacing w:after="150" w:before="330"/>
        <w:jc w:val="center"/>
      </w:pPr>
      <w:r>
        <w:rPr>
          <w:rFonts w:ascii="Inter" w:cs="Inter" w:eastAsia="Inter" w:hAnsi="Inter"/>
          <w:b/>
          <w:bCs/>
          <w:i w:val="false"/>
          <w:iCs w:val="false"/>
          <w:strike w:val="false"/>
          <w:color w:val="14171A"/>
          <w:sz w:val="42"/>
          <w:szCs w:val="42"/>
        </w:rPr>
        <w:t xml:space="preserve"> </w:t>
      </w:r>
    </w:p>
    <w:p>
      <w:pPr>
        <w:keepNext/>
        <w:spacing w:after="150" w:before="330"/>
        <w:jc w:val="center"/>
      </w:pPr>
      <w:r>
        <w:rPr>
          <w:rFonts w:ascii="Inter" w:cs="Inter" w:eastAsia="Inter" w:hAnsi="Inter"/>
          <w:b/>
          <w:bCs/>
          <w:i w:val="false"/>
          <w:iCs w:val="false"/>
          <w:strike w:val="false"/>
          <w:color w:val="14171A"/>
          <w:sz w:val="42"/>
          <w:szCs w:val="42"/>
        </w:rPr>
        <w:t xml:space="preserve">Consent &amp; Marriage Correction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October 22nd,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Long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amend the Civil Code of the Totemian Empire concerning the age of sexual consent, close-in-age exceptions, incest, civil marriage, marriage and divorce registration fees, graduated penalties, corrective education, and sexual-offense registration.</w:t>
      </w:r>
      <w:r>
        <w:rPr>
          <w:rFonts w:ascii="Public Sans" w:cs="Public Sans" w:eastAsia="Public Sans" w:hAnsi="Public Sans"/>
          <w:b w:val="false"/>
          <w:bCs w:val="false"/>
          <w:i w:val="false"/>
          <w:iCs w:val="false"/>
          <w:strike w:val="false"/>
          <w:color w:val="14171A"/>
          <w:sz w:val="24"/>
          <w:szCs w:val="24"/>
        </w:rPr>
        <w:br/>
        <w:t xml:space="preserve"/>
      </w:r>
    </w:p>
    <w:p>
      <w:pPr>
        <w:keepNext/>
        <w:spacing w:after="150" w:before="330"/>
        <w:jc w:val="left"/>
      </w:pPr>
      <w:r>
        <w:rPr>
          <w:rFonts w:ascii="Inter" w:cs="Inter" w:eastAsia="Inter" w:hAnsi="Inter"/>
          <w:b/>
          <w:bCs/>
          <w:i w:val="false"/>
          <w:iCs w:val="false"/>
          <w:strike w:val="false"/>
          <w:color w:val="14171A"/>
          <w:sz w:val="33"/>
          <w:szCs w:val="33"/>
        </w:rPr>
        <w:t xml:space="preserve">Statement from Nuxart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 present this bill to address incest, clarify the separate rules for sexual consent and civil marriage, and increase marriage and divorce registration fees so that marriage is treated as a serious commitment.</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330"/>
        <w:jc w:val="left"/>
      </w:pPr>
      <w:r>
        <w:rPr>
          <w:rFonts w:ascii="Inter" w:cs="Inter" w:eastAsia="Inter" w:hAnsi="Inter"/>
          <w:b/>
          <w:bCs/>
          <w:i w:val="false"/>
          <w:iCs w:val="false"/>
          <w:strike w:val="false"/>
          <w:color w:val="14171A"/>
          <w:sz w:val="33"/>
          <w:szCs w:val="33"/>
        </w:rPr>
        <w:t xml:space="preserve">Chapter 1 - Civil Marriage and Divorce</w:t>
      </w:r>
    </w:p>
    <w:p>
      <w:pPr>
        <w:spacing w:after="140"/>
        <w:jc w:val="left"/>
      </w:pPr>
      <w:r>
        <w:rPr>
          <w:rFonts w:ascii="Public Sans" w:cs="Public Sans" w:eastAsia="Public Sans" w:hAnsi="Public Sans"/>
          <w:b/>
          <w:bCs/>
          <w:i w:val="false"/>
          <w:iCs w:val="false"/>
          <w:strike w:val="false"/>
          <w:color w:val="14171A"/>
          <w:sz w:val="24"/>
          <w:szCs w:val="24"/>
        </w:rPr>
        <w:t xml:space="preserve">Section 1: Civil Marriage and Divorce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6 of the Civil Code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14171A"/>
                <w:sz w:val="24"/>
                <w:szCs w:val="24"/>
              </w:rPr>
              <w:t xml:space="preserve">Article 6: Civil Marriage and Divorce</w:t>
            </w:r>
          </w:p>
          <w:p>
            <w:pPr>
              <w:spacing w:after="140"/>
              <w:jc w:val="left"/>
            </w:pPr>
            <w:r>
              <w:rPr>
                <w:rFonts w:ascii="Public Sans" w:cs="Public Sans" w:eastAsia="Public Sans" w:hAnsi="Public Sans"/>
                <w:b/>
                <w:bCs/>
                <w:i w:val="false"/>
                <w:iCs w:val="false"/>
                <w:strike w:val="false"/>
                <w:color w:val="14171A"/>
                <w:sz w:val="24"/>
                <w:szCs w:val="24"/>
              </w:rPr>
              <w:t xml:space="preserve">Section 1: Civil Marriage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civil marriage is a lawful union between two individuals who:</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consent to be married;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are both </w:t>
            </w:r>
            <w:r>
              <w:rPr>
                <w:rFonts w:ascii="Public Sans" w:cs="Public Sans" w:eastAsia="Public Sans" w:hAnsi="Public Sans"/>
                <w:b w:val="false"/>
                <w:bCs w:val="false"/>
                <w:i w:val="false"/>
                <w:iCs w:val="false"/>
                <w:strike/>
                <w:color w:val="FF0000"/>
                <w:sz w:val="24"/>
                <w:szCs w:val="24"/>
              </w:rPr>
              <w:t xml:space="preserve">of legal age in Totemia </w:t>
            </w:r>
            <w:r>
              <w:rPr>
                <w:rFonts w:ascii="Public Sans" w:cs="Public Sans" w:eastAsia="Public Sans" w:hAnsi="Public Sans"/>
                <w:b w:val="false"/>
                <w:bCs w:val="false"/>
                <w:i w:val="false"/>
                <w:iCs w:val="false"/>
                <w:strike w:val="false"/>
                <w:color w:val="66135A"/>
                <w:sz w:val="24"/>
                <w:szCs w:val="24"/>
              </w:rPr>
              <w:t xml:space="preserve">at least 18 years of age</w:t>
            </w:r>
            <w:r>
              <w:rPr>
                <w:rFonts w:ascii="Public Sans" w:cs="Public Sans" w:eastAsia="Public Sans" w:hAnsi="Public Sans"/>
                <w:b w:val="false"/>
                <w:bCs w:val="false"/>
                <w:i w:val="false"/>
                <w:iCs w:val="false"/>
                <w:strike w:val="false"/>
                <w:color w:val="14171A"/>
                <w:sz w:val="24"/>
                <w:szCs w:val="24"/>
              </w:rPr>
              <w:t xml:space="preser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are not already married under Totemian law;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are not prohibited from marrying by any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Sex, gender, sexuality, or identity shall not prevent two otherwise eligible individuals from entering into a civil marriage.</w:t>
            </w:r>
          </w:p>
          <w:p>
            <w:pPr>
              <w:spacing w:after="140"/>
              <w:jc w:val="left"/>
            </w:pPr>
            <w:r>
              <w:rPr>
                <w:rFonts w:ascii="Public Sans" w:cs="Public Sans" w:eastAsia="Public Sans" w:hAnsi="Public Sans"/>
                <w:b w:val="false"/>
                <w:bCs w:val="false"/>
                <w:i w:val="false"/>
                <w:iCs w:val="false"/>
                <w:strike/>
                <w:color w:val="FF0000"/>
                <w:sz w:val="24"/>
                <w:szCs w:val="24"/>
              </w:rPr>
              <w:t xml:space="preserve">For purposes of this Article, legal age means the age of consent recognized by Totemian law. </w:t>
            </w:r>
            <w:r>
              <w:rPr>
                <w:rFonts w:ascii="Public Sans" w:cs="Public Sans" w:eastAsia="Public Sans" w:hAnsi="Public Sans"/>
                <w:b w:val="false"/>
                <w:bCs w:val="false"/>
                <w:i w:val="false"/>
                <w:iCs w:val="false"/>
                <w:strike w:val="false"/>
                <w:color w:val="66135A"/>
                <w:sz w:val="24"/>
                <w:szCs w:val="24"/>
              </w:rPr>
              <w:t xml:space="preserve">The minimum age for civil marriage is 18 years, independently of the age of sexual consent.</w:t>
            </w:r>
          </w:p>
          <w:p>
            <w:pPr>
              <w:spacing w:after="140"/>
              <w:jc w:val="left"/>
            </w:pPr>
            <w:r>
              <w:rPr>
                <w:rFonts w:ascii="Public Sans" w:cs="Public Sans" w:eastAsia="Public Sans" w:hAnsi="Public Sans"/>
                <w:b/>
                <w:bCs/>
                <w:i w:val="false"/>
                <w:iCs w:val="false"/>
                <w:strike w:val="false"/>
                <w:color w:val="14171A"/>
                <w:sz w:val="24"/>
                <w:szCs w:val="24"/>
              </w:rPr>
              <w:t xml:space="preserve">Section 2: Marriage Fee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fee to register a civil marriage shall be </w:t>
            </w:r>
            <w:r>
              <w:rPr>
                <w:rFonts w:ascii="Public Sans" w:cs="Public Sans" w:eastAsia="Public Sans" w:hAnsi="Public Sans"/>
                <w:b w:val="false"/>
                <w:bCs w:val="false"/>
                <w:i w:val="false"/>
                <w:iCs w:val="false"/>
                <w:strike/>
                <w:color w:val="FF0000"/>
                <w:sz w:val="24"/>
                <w:szCs w:val="24"/>
              </w:rPr>
              <w:t xml:space="preserve">125 </w:t>
            </w:r>
            <w:r>
              <w:rPr>
                <w:rFonts w:ascii="Public Sans" w:cs="Public Sans" w:eastAsia="Public Sans" w:hAnsi="Public Sans"/>
                <w:b w:val="false"/>
                <w:bCs w:val="false"/>
                <w:i w:val="false"/>
                <w:iCs w:val="false"/>
                <w:strike w:val="false"/>
                <w:color w:val="66135A"/>
                <w:sz w:val="24"/>
                <w:szCs w:val="24"/>
              </w:rPr>
              <w:t xml:space="preserve">1,000</w:t>
            </w:r>
            <w:r>
              <w:rPr>
                <w:rFonts w:ascii="Public Sans" w:cs="Public Sans" w:eastAsia="Public Sans" w:hAnsi="Public Sans"/>
                <w:b w:val="false"/>
                <w:bCs w:val="false"/>
                <w:i w:val="false"/>
                <w:iCs w:val="false"/>
                <w:strike w:val="false"/>
                <w:color w:val="14171A"/>
                <w:sz w:val="24"/>
                <w:szCs w:val="24"/>
              </w:rPr>
              <w:t xml:space="preserve">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civil marriage shall not be officially recognized until the marriage fee is paid.</w:t>
            </w:r>
          </w:p>
          <w:p>
            <w:pPr>
              <w:spacing w:after="140"/>
              <w:jc w:val="left"/>
            </w:pPr>
            <w:r>
              <w:rPr>
                <w:rFonts w:ascii="Public Sans" w:cs="Public Sans" w:eastAsia="Public Sans" w:hAnsi="Public Sans"/>
                <w:b/>
                <w:bCs/>
                <w:i w:val="false"/>
                <w:iCs w:val="false"/>
                <w:strike w:val="false"/>
                <w:color w:val="14171A"/>
                <w:sz w:val="24"/>
                <w:szCs w:val="24"/>
              </w:rPr>
              <w:t xml:space="preserve">Section 3: Divorce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Either spouse may initiate a divorce.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Consent of both spouses shall not be required for divorce if one spouse lawfully initiates it and the divorce fee is paid.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fee to register a divorce shall be </w:t>
            </w:r>
            <w:r>
              <w:rPr>
                <w:rFonts w:ascii="Public Sans" w:cs="Public Sans" w:eastAsia="Public Sans" w:hAnsi="Public Sans"/>
                <w:b w:val="false"/>
                <w:bCs w:val="false"/>
                <w:i w:val="false"/>
                <w:iCs w:val="false"/>
                <w:strike/>
                <w:color w:val="FF0000"/>
                <w:sz w:val="24"/>
                <w:szCs w:val="24"/>
              </w:rPr>
              <w:t xml:space="preserve">125 </w:t>
            </w:r>
            <w:r>
              <w:rPr>
                <w:rFonts w:ascii="Public Sans" w:cs="Public Sans" w:eastAsia="Public Sans" w:hAnsi="Public Sans"/>
                <w:b w:val="false"/>
                <w:bCs w:val="false"/>
                <w:i w:val="false"/>
                <w:iCs w:val="false"/>
                <w:strike w:val="false"/>
                <w:color w:val="66135A"/>
                <w:sz w:val="24"/>
                <w:szCs w:val="24"/>
              </w:rPr>
              <w:t xml:space="preserve">1,000</w:t>
            </w:r>
            <w:r>
              <w:rPr>
                <w:rFonts w:ascii="Public Sans" w:cs="Public Sans" w:eastAsia="Public Sans" w:hAnsi="Public Sans"/>
                <w:b w:val="false"/>
                <w:bCs w:val="false"/>
                <w:i w:val="false"/>
                <w:iCs w:val="false"/>
                <w:strike w:val="false"/>
                <w:color w:val="14171A"/>
                <w:sz w:val="24"/>
                <w:szCs w:val="24"/>
              </w:rPr>
              <w:t xml:space="preserve">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Once the divorce fee is paid and the divorce is filed, the marriage shall be dissolved under Totemian civil law.</w:t>
            </w:r>
          </w:p>
          <w:p>
            <w:pPr>
              <w:spacing w:after="140"/>
              <w:jc w:val="left"/>
            </w:pPr>
            <w:r>
              <w:rPr>
                <w:rFonts w:ascii="Public Sans" w:cs="Public Sans" w:eastAsia="Public Sans" w:hAnsi="Public Sans"/>
                <w:b w:val="false"/>
                <w:bCs w:val="false"/>
                <w:i w:val="false"/>
                <w:iCs w:val="false"/>
                <w:strike/>
                <w:color w:val="FF0000"/>
                <w:sz w:val="24"/>
                <w:szCs w:val="24"/>
              </w:rPr>
              <w:t xml:space="preserve">The Totemian Government may record the marriage or divorce for administrative purposes. </w:t>
            </w:r>
            <w:r>
              <w:rPr>
                <w:rFonts w:ascii="Public Sans" w:cs="Public Sans" w:eastAsia="Public Sans" w:hAnsi="Public Sans"/>
                <w:b w:val="false"/>
                <w:bCs w:val="false"/>
                <w:i w:val="false"/>
                <w:iCs w:val="false"/>
                <w:strike w:val="false"/>
                <w:color w:val="66135A"/>
                <w:sz w:val="24"/>
                <w:szCs w:val="24"/>
              </w:rPr>
              <w:t xml:space="preserve">The Office of Civil Registration within the Ministry of Interior shall record civil marriages and divorces in the Imperial Civil Registry under Title 2, Chapter 9, Article 6.</w:t>
            </w:r>
          </w:p>
          <w:p>
            <w:pPr>
              <w:spacing w:after="140"/>
              <w:jc w:val="left"/>
            </w:pPr>
            <w:r>
              <w:rPr>
                <w:rFonts w:ascii="Public Sans" w:cs="Public Sans" w:eastAsia="Public Sans" w:hAnsi="Public Sans"/>
                <w:b/>
                <w:bCs/>
                <w:i w:val="false"/>
                <w:iCs w:val="false"/>
                <w:strike w:val="false"/>
                <w:color w:val="14171A"/>
                <w:sz w:val="24"/>
                <w:szCs w:val="24"/>
              </w:rPr>
              <w:t xml:space="preserve">Section 4: Royal Marriages</w:t>
            </w:r>
          </w:p>
          <w:p>
            <w:pPr>
              <w:spacing w:after="140"/>
              <w:jc w:val="left"/>
            </w:pPr>
            <w:r>
              <w:rPr>
                <w:rFonts w:ascii="Public Sans" w:cs="Public Sans" w:eastAsia="Public Sans" w:hAnsi="Public Sans"/>
                <w:b w:val="false"/>
                <w:bCs w:val="false"/>
                <w:i w:val="false"/>
                <w:iCs w:val="false"/>
                <w:strike/>
                <w:color w:val="FF0000"/>
                <w:sz w:val="24"/>
                <w:szCs w:val="24"/>
              </w:rPr>
              <w:t xml:space="preserve">Marriages involving the royal family shall be exempt from these regulations.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Marriages and divorces involving a member of the Imperial Family are exempt from the civil requirements and prohibitions in Sections 1, 2, 3, and 6, including the minimum marriage age, restriction on an existing marriage, prohibited biological relationships, fees, registration, and dissolution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reigning Monarch may by Imperial Order prescribe the rules governing those marriages and divorces, including their formation, recognition, registration, dissolution, and any conditions or limits on an exemption.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purposes of this Section, the Imperial Family comprises: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reigning Emperor or Empress;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reigning Monarch’s lawful consort, including the Imperial Consort, Queen consort of Omnislavia, Empress designate, or Empress consort of all the Totemias, as applicable under the Constitution;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Caesarevich of Totemia or another lawfully designated Heir to the Imperial Throne;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Princes and Princesses recognized by the reigning Monarch as members of the Imperial Family;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any other person expressly recognized by Imperial Order as a member of the Imperial Family.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exemption applies to both parties to the covered marriage or divorce. A public office, regency, noble title, or relationship to a member of the Imperial Family does not alone confer membership for purposes of this Section.</w:t>
            </w:r>
          </w:p>
          <w:p>
            <w:pPr>
              <w:spacing w:after="140"/>
              <w:jc w:val="left"/>
            </w:pPr>
            <w:r>
              <w:rPr>
                <w:rFonts w:ascii="Public Sans" w:cs="Public Sans" w:eastAsia="Public Sans" w:hAnsi="Public Sans"/>
                <w:b/>
                <w:bCs/>
                <w:i w:val="false"/>
                <w:iCs w:val="false"/>
                <w:strike w:val="false"/>
                <w:color w:val="14171A"/>
                <w:sz w:val="24"/>
                <w:szCs w:val="24"/>
              </w:rPr>
              <w:t xml:space="preserve">Section 5: Religious Non-Compulsion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Article shall require any religion, priest, minister, church, temple, or religious body to perform, bless, approve, or recognize a marriage contrary to its own doctrine.</w:t>
            </w:r>
          </w:p>
          <w:p>
            <w:pPr>
              <w:spacing w:after="140"/>
              <w:jc w:val="left"/>
            </w:pPr>
            <w:r>
              <w:rPr>
                <w:rFonts w:ascii="Public Sans" w:cs="Public Sans" w:eastAsia="Public Sans" w:hAnsi="Public Sans"/>
                <w:b/>
                <w:bCs/>
                <w:i w:val="false"/>
                <w:iCs w:val="false"/>
                <w:strike w:val="false"/>
                <w:color w:val="66135A"/>
                <w:sz w:val="24"/>
                <w:szCs w:val="24"/>
              </w:rPr>
              <w:t xml:space="preserve">Section 6: Prohibited Close Biological Relationships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civil marriage shall not be registered between biological ancestors and descendants; full or half siblings; a biological aunt or uncle and that person’s niece or nephew; or first cousins who share a biological grandparent. This prohibition applies regardless of adoption, legal parentage, ability to conceive, or prior knowledge of the relationship.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Entering a marriage without knowledge of a prohibited relationship shall not itself constitute a criminal offense. If the relationship is later established, the Office of Civil Registration shall refer the matter to a competent court to determine the marriage’s civil status after notice to the parties and an opportunity to be heard.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Marriage between second cousins or more distant relatives shall not be prohibited solely because of biological relatedness. Restrictions imposed by superior law remain applicable.</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330"/>
        <w:jc w:val="left"/>
      </w:pPr>
      <w:r>
        <w:rPr>
          <w:rFonts w:ascii="Inter" w:cs="Inter" w:eastAsia="Inter" w:hAnsi="Inter"/>
          <w:b/>
          <w:bCs/>
          <w:i w:val="false"/>
          <w:iCs w:val="false"/>
          <w:strike w:val="false"/>
          <w:color w:val="14171A"/>
          <w:sz w:val="33"/>
          <w:szCs w:val="33"/>
        </w:rPr>
        <w:t xml:space="preserve">Chapter 2 - Sexual Consent and Age of Consent</w:t>
      </w:r>
    </w:p>
    <w:p>
      <w:pPr>
        <w:spacing w:after="140"/>
        <w:jc w:val="left"/>
      </w:pPr>
      <w:r>
        <w:rPr>
          <w:rFonts w:ascii="Public Sans" w:cs="Public Sans" w:eastAsia="Public Sans" w:hAnsi="Public Sans"/>
          <w:b/>
          <w:bCs/>
          <w:i w:val="false"/>
          <w:iCs w:val="false"/>
          <w:strike w:val="false"/>
          <w:color w:val="14171A"/>
          <w:sz w:val="24"/>
          <w:szCs w:val="24"/>
        </w:rPr>
        <w:t xml:space="preserve">Section 1: Sexual Consent and Age of Consent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18 of the Civil Code is amended by replacing its article heading and the headings of Sections 1 and 2, and by amending Section 3,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14171A"/>
                <w:sz w:val="24"/>
                <w:szCs w:val="24"/>
              </w:rPr>
              <w:t xml:space="preserve">Article 18: </w:t>
            </w:r>
            <w:r>
              <w:rPr>
                <w:rFonts w:ascii="Public Sans" w:cs="Public Sans" w:eastAsia="Public Sans" w:hAnsi="Public Sans"/>
                <w:b/>
                <w:bCs/>
                <w:i w:val="false"/>
                <w:iCs w:val="false"/>
                <w:strike/>
                <w:color w:val="FF0000"/>
                <w:sz w:val="24"/>
                <w:szCs w:val="24"/>
              </w:rPr>
              <w:t xml:space="preserve">Consent and Sexual Offenses; General Rules </w:t>
            </w:r>
            <w:r>
              <w:rPr>
                <w:rFonts w:ascii="Public Sans" w:cs="Public Sans" w:eastAsia="Public Sans" w:hAnsi="Public Sans"/>
                <w:b/>
                <w:bCs/>
                <w:i w:val="false"/>
                <w:iCs w:val="false"/>
                <w:strike w:val="false"/>
                <w:color w:val="66135A"/>
                <w:sz w:val="24"/>
                <w:szCs w:val="24"/>
              </w:rPr>
              <w:t xml:space="preserve">Sexual Consent and Age of Consent</w:t>
            </w:r>
          </w:p>
          <w:p>
            <w:pPr>
              <w:spacing w:after="140"/>
              <w:jc w:val="left"/>
            </w:pPr>
            <w:r>
              <w:rPr>
                <w:rFonts w:ascii="Public Sans" w:cs="Public Sans" w:eastAsia="Public Sans" w:hAnsi="Public Sans"/>
                <w:b/>
                <w:bCs/>
                <w:i w:val="false"/>
                <w:iCs w:val="false"/>
                <w:strike w:val="false"/>
                <w:color w:val="14171A"/>
                <w:sz w:val="24"/>
                <w:szCs w:val="24"/>
              </w:rPr>
              <w:t xml:space="preserve">Section 1: </w:t>
            </w:r>
            <w:r>
              <w:rPr>
                <w:rFonts w:ascii="Public Sans" w:cs="Public Sans" w:eastAsia="Public Sans" w:hAnsi="Public Sans"/>
                <w:b/>
                <w:bCs/>
                <w:i w:val="false"/>
                <w:iCs w:val="false"/>
                <w:strike/>
                <w:color w:val="FF0000"/>
                <w:sz w:val="24"/>
                <w:szCs w:val="24"/>
              </w:rPr>
              <w:t xml:space="preserve">Requirements and Withdrawal of Consent </w:t>
            </w:r>
            <w:r>
              <w:rPr>
                <w:rFonts w:ascii="Public Sans" w:cs="Public Sans" w:eastAsia="Public Sans" w:hAnsi="Public Sans"/>
                <w:b/>
                <w:bCs/>
                <w:i w:val="false"/>
                <w:iCs w:val="false"/>
                <w:strike w:val="false"/>
                <w:color w:val="66135A"/>
                <w:sz w:val="24"/>
                <w:szCs w:val="24"/>
              </w:rPr>
              <w:t xml:space="preserve">Sexual Consent and Withdrawal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sexual offenses, consent must be free, informed, specific to the conduct, and capable of being withdrawn at any time. Consent obtained by force, credible threat, unlawful coercion, abuse of custody, or deception as to the essential nature of the conduct is not valid.</w:t>
            </w:r>
          </w:p>
          <w:p>
            <w:pPr>
              <w:spacing w:after="140"/>
              <w:jc w:val="left"/>
            </w:pPr>
            <w:r>
              <w:rPr>
                <w:rFonts w:ascii="Public Sans" w:cs="Public Sans" w:eastAsia="Public Sans" w:hAnsi="Public Sans"/>
                <w:b/>
                <w:bCs/>
                <w:i w:val="false"/>
                <w:iCs w:val="false"/>
                <w:strike w:val="false"/>
                <w:color w:val="14171A"/>
                <w:sz w:val="24"/>
                <w:szCs w:val="24"/>
              </w:rPr>
              <w:t xml:space="preserve">Section 2: </w:t>
            </w:r>
            <w:r>
              <w:rPr>
                <w:rFonts w:ascii="Public Sans" w:cs="Public Sans" w:eastAsia="Public Sans" w:hAnsi="Public Sans"/>
                <w:b/>
                <w:bCs/>
                <w:i w:val="false"/>
                <w:iCs w:val="false"/>
                <w:strike/>
                <w:color w:val="FF0000"/>
                <w:sz w:val="24"/>
                <w:szCs w:val="24"/>
              </w:rPr>
              <w:t xml:space="preserve">Incapacity and Insufficient Indications of Consent </w:t>
            </w:r>
            <w:r>
              <w:rPr>
                <w:rFonts w:ascii="Public Sans" w:cs="Public Sans" w:eastAsia="Public Sans" w:hAnsi="Public Sans"/>
                <w:b/>
                <w:bCs/>
                <w:i w:val="false"/>
                <w:iCs w:val="false"/>
                <w:strike w:val="false"/>
                <w:color w:val="66135A"/>
                <w:sz w:val="24"/>
                <w:szCs w:val="24"/>
              </w:rPr>
              <w:t xml:space="preserve">Incapacity to Give Sexual Consent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is unconscious, asleep, or otherwise unable to understand and communicate a present choice cannot consent while that incapacity continues. A prior relationship, marriage, prior consent, silence, clothing, reputation, or failure to physically resist does not by itself establish consent.</w:t>
            </w:r>
          </w:p>
          <w:p>
            <w:pPr>
              <w:spacing w:after="140"/>
              <w:jc w:val="left"/>
            </w:pPr>
            <w:r>
              <w:rPr>
                <w:rFonts w:ascii="Public Sans" w:cs="Public Sans" w:eastAsia="Public Sans" w:hAnsi="Public Sans"/>
                <w:b/>
                <w:bCs/>
                <w:i w:val="false"/>
                <w:iCs w:val="false"/>
                <w:strike w:val="false"/>
                <w:color w:val="14171A"/>
                <w:sz w:val="24"/>
                <w:szCs w:val="24"/>
              </w:rPr>
              <w:t xml:space="preserve">Section 3: Age of Consent and </w:t>
            </w:r>
            <w:r>
              <w:rPr>
                <w:rFonts w:ascii="Public Sans" w:cs="Public Sans" w:eastAsia="Public Sans" w:hAnsi="Public Sans"/>
                <w:b/>
                <w:bCs/>
                <w:i w:val="false"/>
                <w:iCs w:val="false"/>
                <w:strike/>
                <w:color w:val="FF0000"/>
                <w:sz w:val="24"/>
                <w:szCs w:val="24"/>
              </w:rPr>
              <w:t xml:space="preserve">Exclusive Exception </w:t>
            </w:r>
            <w:r>
              <w:rPr>
                <w:rFonts w:ascii="Public Sans" w:cs="Public Sans" w:eastAsia="Public Sans" w:hAnsi="Public Sans"/>
                <w:b/>
                <w:bCs/>
                <w:i w:val="false"/>
                <w:iCs w:val="false"/>
                <w:strike w:val="false"/>
                <w:color w:val="66135A"/>
                <w:sz w:val="24"/>
                <w:szCs w:val="24"/>
              </w:rPr>
              <w:t xml:space="preserve">Close-in-Age Exceptions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legal age for sexual consent </w:t>
            </w:r>
            <w:r>
              <w:rPr>
                <w:rFonts w:ascii="Public Sans" w:cs="Public Sans" w:eastAsia="Public Sans" w:hAnsi="Public Sans"/>
                <w:b w:val="false"/>
                <w:bCs w:val="false"/>
                <w:i w:val="false"/>
                <w:iCs w:val="false"/>
                <w:strike/>
                <w:color w:val="FF0000"/>
                <w:sz w:val="24"/>
                <w:szCs w:val="24"/>
              </w:rPr>
              <w:t xml:space="preserve">remains nineteen </w:t>
            </w:r>
            <w:r>
              <w:rPr>
                <w:rFonts w:ascii="Public Sans" w:cs="Public Sans" w:eastAsia="Public Sans" w:hAnsi="Public Sans"/>
                <w:b w:val="false"/>
                <w:bCs w:val="false"/>
                <w:i w:val="false"/>
                <w:iCs w:val="false"/>
                <w:strike w:val="false"/>
                <w:color w:val="66135A"/>
                <w:sz w:val="24"/>
                <w:szCs w:val="24"/>
              </w:rPr>
              <w:t xml:space="preserve">shall be 21</w:t>
            </w:r>
            <w:r>
              <w:rPr>
                <w:rFonts w:ascii="Public Sans" w:cs="Public Sans" w:eastAsia="Public Sans" w:hAnsi="Public Sans"/>
                <w:b w:val="false"/>
                <w:bCs w:val="false"/>
                <w:i w:val="false"/>
                <w:iCs w:val="false"/>
                <w:strike w:val="false"/>
                <w:color w:val="14171A"/>
                <w:sz w:val="24"/>
                <w:szCs w:val="24"/>
              </w:rPr>
              <w:t xml:space="preserve"> </w:t>
            </w:r>
            <w:r>
              <w:rPr>
                <w:rFonts w:ascii="Public Sans" w:cs="Public Sans" w:eastAsia="Public Sans" w:hAnsi="Public Sans"/>
                <w:b w:val="false"/>
                <w:bCs w:val="false"/>
                <w:i w:val="false"/>
                <w:iCs w:val="false"/>
                <w:strike/>
                <w:color w:val="FF0000"/>
                <w:sz w:val="24"/>
                <w:szCs w:val="24"/>
              </w:rPr>
              <w:t xml:space="preserve">Lenskov calendar </w:t>
            </w:r>
            <w:r>
              <w:rPr>
                <w:rFonts w:ascii="Public Sans" w:cs="Public Sans" w:eastAsia="Public Sans" w:hAnsi="Public Sans"/>
                <w:b w:val="false"/>
                <w:bCs w:val="false"/>
                <w:i w:val="false"/>
                <w:iCs w:val="false"/>
                <w:strike w:val="false"/>
                <w:color w:val="14171A"/>
                <w:sz w:val="24"/>
                <w:szCs w:val="24"/>
              </w:rPr>
              <w:t xml:space="preserve">years unless superior law expressly provides otherwise. The exclusive close-in-age exception is stated in Title 7, Chapter 8, Article 21 and shall not be enlarged by implication.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either participant is under 21, the younger participant’s age determines the applicable age-difference limit under Article 21. The minimum civil marriage age is governed separately by Title 1, Chapter 1, Article 6.</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 Age of Consent, Close-in-Age Exceptions, and Age Fraud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21 is amended by replacing its article heading and Sections 1 and 2,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14171A"/>
                <w:sz w:val="24"/>
                <w:szCs w:val="24"/>
              </w:rPr>
              <w:t xml:space="preserve">Article 21: </w:t>
            </w:r>
            <w:r>
              <w:rPr>
                <w:rFonts w:ascii="Public Sans" w:cs="Public Sans" w:eastAsia="Public Sans" w:hAnsi="Public Sans"/>
                <w:b/>
                <w:bCs/>
                <w:i w:val="false"/>
                <w:iCs w:val="false"/>
                <w:strike/>
                <w:color w:val="FF0000"/>
                <w:sz w:val="24"/>
                <w:szCs w:val="24"/>
              </w:rPr>
              <w:t xml:space="preserve">Age-Based Sexual Offenses </w:t>
            </w:r>
            <w:r>
              <w:rPr>
                <w:rFonts w:ascii="Public Sans" w:cs="Public Sans" w:eastAsia="Public Sans" w:hAnsi="Public Sans"/>
                <w:b/>
                <w:bCs/>
                <w:i w:val="false"/>
                <w:iCs w:val="false"/>
                <w:strike w:val="false"/>
                <w:color w:val="66135A"/>
                <w:sz w:val="24"/>
                <w:szCs w:val="24"/>
              </w:rPr>
              <w:t xml:space="preserve">Age of Consent, Close-in-Age Exceptions,</w:t>
            </w:r>
            <w:r>
              <w:rPr>
                <w:rFonts w:ascii="Public Sans" w:cs="Public Sans" w:eastAsia="Public Sans" w:hAnsi="Public Sans"/>
                <w:b/>
                <w:bCs/>
                <w:i w:val="false"/>
                <w:iCs w:val="false"/>
                <w:strike w:val="false"/>
                <w:color w:val="14171A"/>
                <w:sz w:val="24"/>
                <w:szCs w:val="24"/>
              </w:rPr>
              <w:t xml:space="preserve"> and Age Fraud</w:t>
            </w:r>
          </w:p>
          <w:p>
            <w:pPr>
              <w:spacing w:after="140"/>
              <w:jc w:val="left"/>
            </w:pPr>
            <w:r>
              <w:rPr>
                <w:rFonts w:ascii="Public Sans" w:cs="Public Sans" w:eastAsia="Public Sans" w:hAnsi="Public Sans"/>
                <w:b/>
                <w:bCs/>
                <w:i w:val="false"/>
                <w:iCs w:val="false"/>
                <w:strike w:val="false"/>
                <w:color w:val="14171A"/>
                <w:sz w:val="24"/>
                <w:szCs w:val="24"/>
              </w:rPr>
              <w:t xml:space="preserve">Section 1: </w:t>
            </w:r>
            <w:r>
              <w:rPr>
                <w:rFonts w:ascii="Public Sans" w:cs="Public Sans" w:eastAsia="Public Sans" w:hAnsi="Public Sans"/>
                <w:b/>
                <w:bCs/>
                <w:i w:val="false"/>
                <w:iCs w:val="false"/>
                <w:strike/>
                <w:color w:val="FF0000"/>
                <w:sz w:val="24"/>
                <w:szCs w:val="24"/>
              </w:rPr>
              <w:t xml:space="preserve">Age-Based Offenses and the Close-in-Age Exception </w:t>
            </w:r>
            <w:r>
              <w:rPr>
                <w:rFonts w:ascii="Public Sans" w:cs="Public Sans" w:eastAsia="Public Sans" w:hAnsi="Public Sans"/>
                <w:b/>
                <w:bCs/>
                <w:i w:val="false"/>
                <w:iCs w:val="false"/>
                <w:strike w:val="false"/>
                <w:color w:val="66135A"/>
                <w:sz w:val="24"/>
                <w:szCs w:val="24"/>
              </w:rPr>
              <w:t xml:space="preserve">Age-Based Sexual Offenses and Close-in-Age Exceptions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knowingly engages in sexual conduct with a person below the legal age of consent commits an age-based sexual offense unless the close-in-age exception in this Article applies.</w:t>
            </w:r>
          </w:p>
          <w:p>
            <w:pPr>
              <w:spacing w:after="140"/>
              <w:jc w:val="left"/>
            </w:pPr>
            <w:r>
              <w:rPr>
                <w:rFonts w:ascii="Public Sans" w:cs="Public Sans" w:eastAsia="Public Sans" w:hAnsi="Public Sans"/>
                <w:b w:val="false"/>
                <w:bCs w:val="false"/>
                <w:i w:val="false"/>
                <w:iCs w:val="false"/>
                <w:strike/>
                <w:color w:val="FF0000"/>
                <w:sz w:val="24"/>
                <w:szCs w:val="24"/>
              </w:rPr>
              <w:t xml:space="preserve">The exception applies only where consent is otherwise legally valid and: (a) the younger person is at least fourteen Lenskov calendar years old; (b) where the younger person is fourteen or fifteen, the older person is not more than twenty-four months older; or (c) where the younger person is sixteen, seventeen, or eighteen, the older person is not more than thirty-six months older.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exception applies only where consent is otherwise legally valid, the younger participant is at least 14 years of age, and the difference between the participants’ ages does not exceed: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24 months where the younger participant is 14 or 15;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36 months where the younger participant is 16 or 17;</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48 months where the younger participant is 18;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60 months where the younger participant is 19;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72 months where the younger participant is 20.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Age differences shall be measured from the participants’ actual dates of birth. The stated maximum is inclusive. The younger participant’s age governs even if the older participant is 21 or older. No age-difference limit applies under this Article where both participants are at least 21. A prior relationship does not exempt later conduct from these requirements.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close-in-age exception applies where a participant uses force, coercion, threats, material age fraud, or abuse of custodial, educational, employment, military, judicial, governmental, financial, organizational, or comparable authority, or where a participant is otherwise incapable of valid consent.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Using a payment, gift, benefit, or financial dependence to coerce sexual conduct may constitute an offense under Articles 18 through 20. A difference in wealth or income alone does not establish an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relying on the exception bears no burden to prove innocence; once the issue is fairly raised, the prosecution shall prove the relevant ages and the absence of the exception beyond a reasonable doubt.</w:t>
            </w:r>
          </w:p>
          <w:p>
            <w:pPr>
              <w:spacing w:after="140"/>
              <w:jc w:val="left"/>
            </w:pPr>
            <w:r>
              <w:rPr>
                <w:rFonts w:ascii="Public Sans" w:cs="Public Sans" w:eastAsia="Public Sans" w:hAnsi="Public Sans"/>
                <w:b/>
                <w:bCs/>
                <w:i w:val="false"/>
                <w:iCs w:val="false"/>
                <w:strike w:val="false"/>
                <w:color w:val="14171A"/>
                <w:sz w:val="24"/>
                <w:szCs w:val="24"/>
              </w:rPr>
              <w:t xml:space="preserve">Section 2: Material Age Fraud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material age fraud where, for the purpose of obtaining sexual consent that would otherwise be unlawful or refused, the person knowingly and materially misrepresents their age or knowingly presents falsified age records and the misrepresentation actually induces the sexual conduct.</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3: Independently Criminal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21, Section 3 is amended by adding the following sentence: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14171A"/>
                <w:sz w:val="24"/>
                <w:szCs w:val="24"/>
              </w:rPr>
              <w:t xml:space="preserve">Section 3: Independently Criminal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Article permits force, coercion, abuse of authority, conduct with a person incapable of consent, or another independently criminal act.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includes knowing incest under Article 23 of this Chapter.</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4: Punishment for Age-Based Sexual Offenses and Age Fraud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21 is amended by adding Section 4 immediately after Section 3,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66135A"/>
                <w:sz w:val="24"/>
                <w:szCs w:val="24"/>
              </w:rPr>
              <w:t xml:space="preserve">Section 4: Punishment for Age-Based Sexual Offenses and Age Fraud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 offense under Section 1, the court may impose any lawful combination of the following measures within the applicable range: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Limited age-gap violation: imprisonment not exceeding 7 calendar days or a fine not exceeding 10,000 SL, or both. This range applies only where the younger participant is at least 16 years of age, the age difference exceeds the permitted limit by no more than 12 months, consent is otherwise legally valid, and no force, coercion, material age fraud, incapacity, or abuse of authority is proved.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Ordinary age-based offense: imprisonment not exceeding 30 calendar days or a fine not exceeding 50,000 SL, or both, where neither paragraph (a) nor paragraph (c) applies.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Aggravated age-based offense: imprisonment not exceeding 90 calendar days or a fine not exceeding 150,000 SL, or both, where the younger participant is under 14 years of age, or the offense involves force, coercion, a credible threat, incapacity to consent, or abuse of custody or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material age fraud under Section 2, the court may impose imprisonment not exceeding 14 calendar days or a fine not exceeding 25,000 SL, or both.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 first limited age-gap violation, the court shall consider education or community service instead of a fine or imprisonment and shall give reasons for imposing custody. Education, community service, protective measures, and registration are governed by Article 24. A younger participant shall not be punished merely for being the person protected by the age restriction; that protection does not excuse a separately proved offense.</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330"/>
        <w:jc w:val="left"/>
      </w:pPr>
      <w:r>
        <w:rPr>
          <w:rFonts w:ascii="Inter" w:cs="Inter" w:eastAsia="Inter" w:hAnsi="Inter"/>
          <w:b/>
          <w:bCs/>
          <w:i w:val="false"/>
          <w:iCs w:val="false"/>
          <w:strike w:val="false"/>
          <w:color w:val="14171A"/>
          <w:sz w:val="33"/>
          <w:szCs w:val="33"/>
        </w:rPr>
        <w:t xml:space="preserve">Chapter 3 - Incest</w:t>
      </w:r>
    </w:p>
    <w:p>
      <w:pPr>
        <w:spacing w:after="140"/>
        <w:jc w:val="left"/>
      </w:pPr>
      <w:r>
        <w:rPr>
          <w:rFonts w:ascii="Public Sans" w:cs="Public Sans" w:eastAsia="Public Sans" w:hAnsi="Public Sans"/>
          <w:b/>
          <w:bCs/>
          <w:i w:val="false"/>
          <w:iCs w:val="false"/>
          <w:strike w:val="false"/>
          <w:color w:val="14171A"/>
          <w:sz w:val="24"/>
          <w:szCs w:val="24"/>
        </w:rPr>
        <w:t xml:space="preserve">Section 1: Incest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23 immediately after Article 22, Lawful Duels, and before Chapter 9,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66135A"/>
                <w:sz w:val="24"/>
                <w:szCs w:val="24"/>
              </w:rPr>
              <w:t xml:space="preserve">Article 23: Incest</w:t>
            </w:r>
          </w:p>
          <w:p>
            <w:pPr>
              <w:spacing w:after="140"/>
              <w:jc w:val="left"/>
            </w:pPr>
            <w:r>
              <w:rPr>
                <w:rFonts w:ascii="Public Sans" w:cs="Public Sans" w:eastAsia="Public Sans" w:hAnsi="Public Sans"/>
                <w:b/>
                <w:bCs/>
                <w:i w:val="false"/>
                <w:iCs w:val="false"/>
                <w:strike w:val="false"/>
                <w:color w:val="66135A"/>
                <w:sz w:val="24"/>
                <w:szCs w:val="24"/>
              </w:rPr>
              <w:t xml:space="preserve">Section 1: Prohibited Close Biological Relationships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purposes of this Article, prohibited close biological relatives 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biological ancestors and descendants at any generation;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full or half siblings;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biological aunt or uncle and that person’s niece or nephew;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first cousins who share a biological grandparent.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Biological relationship governs regardless of adoption or legal parentage. Second cousins and more distant relatives are excluded. Adoption, stepfamily membership, guardianship, or foster care alone does not establish incest; offenses involving age, coercion, custody, or abuse of authority remain applicable.</w:t>
            </w:r>
          </w:p>
          <w:p>
            <w:pPr>
              <w:spacing w:after="140"/>
              <w:jc w:val="left"/>
            </w:pPr>
            <w:r>
              <w:rPr>
                <w:rFonts w:ascii="Public Sans" w:cs="Public Sans" w:eastAsia="Public Sans" w:hAnsi="Public Sans"/>
                <w:b/>
                <w:bCs/>
                <w:i w:val="false"/>
                <w:iCs w:val="false"/>
                <w:strike w:val="false"/>
                <w:color w:val="66135A"/>
                <w:sz w:val="24"/>
                <w:szCs w:val="24"/>
              </w:rPr>
              <w:t xml:space="preserve">Section 2: Knowing Incest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incest by intentionally engaging in sexual intercourse or other sexual contact with a prohibited close biological relative while actually knowing the biological facts establishing that relationship. The prosecution shall prove the conduct and knowledge at the time of the conduct beyond a reasonable doubt.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who did not know of the relationship when the conduct occurred is not guilty of incest for that conduct. Later discovery does not make earlier conduct criminal, but further prohibited conduct after acquiring knowledge is punishable.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shared name, family record, biological probability, or opportunity to discover the relationship does not by itself establish actual knowledge. The court may consider relevant evidence of knowledge. Ignorance of the legal prohibition does not excuse knowledge of the biological relationship.</w:t>
            </w:r>
          </w:p>
          <w:p>
            <w:pPr>
              <w:spacing w:after="140"/>
              <w:jc w:val="left"/>
            </w:pPr>
            <w:r>
              <w:rPr>
                <w:rFonts w:ascii="Public Sans" w:cs="Public Sans" w:eastAsia="Public Sans" w:hAnsi="Public Sans"/>
                <w:b/>
                <w:bCs/>
                <w:i w:val="false"/>
                <w:iCs w:val="false"/>
                <w:strike w:val="false"/>
                <w:color w:val="66135A"/>
                <w:sz w:val="24"/>
                <w:szCs w:val="24"/>
              </w:rPr>
              <w:t xml:space="preserve">Section 3: Individual Responsibility and Other Offenses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Consent, a close-in-age exception, civil marriage, or inability to conceive does not excuse knowing incest. Each participant’s liability shall be determined separately according to that person’s conduct and knowledge.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subjected to force, coercion, incapacity, or nonconsensual conduct shall not be criminally liable merely for being the other participant. Separate sexual, age-based, and abuse-of-authority offenses remain subject to their own elements and the cumulative-liability rules in Title 7, Chapter 1, Article 10.</w:t>
            </w:r>
          </w:p>
          <w:p>
            <w:pPr>
              <w:spacing w:after="140"/>
              <w:jc w:val="left"/>
            </w:pPr>
            <w:r>
              <w:rPr>
                <w:rFonts w:ascii="Public Sans" w:cs="Public Sans" w:eastAsia="Public Sans" w:hAnsi="Public Sans"/>
                <w:b/>
                <w:bCs/>
                <w:i w:val="false"/>
                <w:iCs w:val="false"/>
                <w:strike w:val="false"/>
                <w:color w:val="66135A"/>
                <w:sz w:val="24"/>
                <w:szCs w:val="24"/>
              </w:rPr>
              <w:t xml:space="preserve">Section 4: Evidence and Judicial Determination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biological relationship may be established by reliable civil records, ancestry evidence, admissions, or lawfully obtained genetic evidence. Disputed relationships shall be determined by a competent court. This Article does not authorize compulsory genetic testing or access to protected records without lawful authority.</w:t>
            </w:r>
          </w:p>
          <w:p>
            <w:pPr>
              <w:spacing w:after="140"/>
              <w:jc w:val="left"/>
            </w:pPr>
            <w:r>
              <w:rPr>
                <w:rFonts w:ascii="Public Sans" w:cs="Public Sans" w:eastAsia="Public Sans" w:hAnsi="Public Sans"/>
                <w:b/>
                <w:bCs/>
                <w:i w:val="false"/>
                <w:iCs w:val="false"/>
                <w:strike w:val="false"/>
                <w:color w:val="66135A"/>
                <w:sz w:val="24"/>
                <w:szCs w:val="24"/>
              </w:rPr>
              <w:t xml:space="preserve">Section 5: Punishment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Ordinary knowing incest may be punished by imprisonment not exceeding 30 calendar days or a fine not exceeding 50,000 SL, or both.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Knowing incest is aggravated where the offense involves a participant under 14 years of age, force, coercion, a credible threat, incapacity to consent, or abuse of parental, custodial, or comparable authority. Aggravated knowing incest may be punished by imprisonment not exceeding 90 calendar days or a fine not exceeding 150,000 SL, or both.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also impose the education, community service, protective measures, and registration authorized by Article 24. Each participant’s liability remains subject to Sections 2 and 3.</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330"/>
        <w:jc w:val="left"/>
      </w:pPr>
      <w:r>
        <w:rPr>
          <w:rFonts w:ascii="Inter" w:cs="Inter" w:eastAsia="Inter" w:hAnsi="Inter"/>
          <w:b/>
          <w:bCs/>
          <w:i w:val="false"/>
          <w:iCs w:val="false"/>
          <w:strike w:val="false"/>
          <w:color w:val="14171A"/>
          <w:sz w:val="33"/>
          <w:szCs w:val="33"/>
        </w:rPr>
        <w:t xml:space="preserve">Chapter 4 - Sexual Offense Sentencing and Registration</w:t>
      </w:r>
    </w:p>
    <w:p>
      <w:pPr>
        <w:spacing w:after="140"/>
        <w:jc w:val="left"/>
      </w:pPr>
      <w:r>
        <w:rPr>
          <w:rFonts w:ascii="Public Sans" w:cs="Public Sans" w:eastAsia="Public Sans" w:hAnsi="Public Sans"/>
          <w:b/>
          <w:bCs/>
          <w:i w:val="false"/>
          <w:iCs w:val="false"/>
          <w:strike w:val="false"/>
          <w:color w:val="14171A"/>
          <w:sz w:val="24"/>
          <w:szCs w:val="24"/>
        </w:rPr>
        <w:t xml:space="preserve">Section 1: Education, Protective Measures, and Registration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24 immediately after Article 23, as inserted by Chapter 3 of this Act, and before Chapter 9,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66135A"/>
                <w:sz w:val="24"/>
                <w:szCs w:val="24"/>
              </w:rPr>
              <w:t xml:space="preserve">Article 24: Sexual Offense Sentencing, Education, and Registration</w:t>
            </w:r>
          </w:p>
          <w:p>
            <w:pPr>
              <w:spacing w:after="140"/>
              <w:jc w:val="left"/>
            </w:pPr>
            <w:r>
              <w:rPr>
                <w:rFonts w:ascii="Public Sans" w:cs="Public Sans" w:eastAsia="Public Sans" w:hAnsi="Public Sans"/>
                <w:b/>
                <w:bCs/>
                <w:i w:val="false"/>
                <w:iCs w:val="false"/>
                <w:strike w:val="false"/>
                <w:color w:val="66135A"/>
                <w:sz w:val="24"/>
                <w:szCs w:val="24"/>
              </w:rPr>
              <w:t xml:space="preserve">Section 1: Scope and Judicial Discretion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governs education, protective measures, and registration following conviction under Articles 19, 20, 21, or 23.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selecting a proportionate sentence, the court shall consider conduct, knowledge, age, participation, exploitation, harm, prior convictions, rehabilitation, and risk of reoffending. Aggravating facts shall be proved beyond a reasonable doubt. Fines shall be determined under Title 7, Chapter 2, Article 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select education, community service, a fine, imprisonment, or an authorized combination. No minimum fine or imprisonment is required. The court shall record reasons for the sentence, registration, and protective restrictions.</w:t>
            </w:r>
          </w:p>
          <w:p>
            <w:pPr>
              <w:spacing w:after="140"/>
              <w:jc w:val="left"/>
            </w:pPr>
            <w:r>
              <w:rPr>
                <w:rFonts w:ascii="Public Sans" w:cs="Public Sans" w:eastAsia="Public Sans" w:hAnsi="Public Sans"/>
                <w:b/>
                <w:bCs/>
                <w:i w:val="false"/>
                <w:iCs w:val="false"/>
                <w:strike w:val="false"/>
                <w:color w:val="66135A"/>
                <w:sz w:val="24"/>
                <w:szCs w:val="24"/>
              </w:rPr>
              <w:t xml:space="preserve">Section 2: Education and Community Service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order 1 to 8 hours of education for a limited age-gap violation, or 1 to 24 hours for another covered offense. Education shall address the consent, age-verification, coercion, family-boundary, or other conduct relevant to the conviction. The Civil Corrections Administration’s Rehabilitation, Education, and Reintegration Service shall arrange delivery or a court-approved equivalent and report completion.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Community service shall not exceed 12 hours for a limited age-gap violation or 60 hours for another offense under Article 21 or 23. The court shall set reasonable completion dates and may allow installments. Education shall be provided without charge. Unavailability of a course, genuine inability, or inability to pay shall not by itself justify imprisonment or a finding of deliberate noncompliance.</w:t>
            </w:r>
          </w:p>
          <w:p>
            <w:pPr>
              <w:spacing w:after="140"/>
              <w:jc w:val="left"/>
            </w:pPr>
            <w:r>
              <w:rPr>
                <w:rFonts w:ascii="Public Sans" w:cs="Public Sans" w:eastAsia="Public Sans" w:hAnsi="Public Sans"/>
                <w:b/>
                <w:bCs/>
                <w:i w:val="false"/>
                <w:iCs w:val="false"/>
                <w:strike w:val="false"/>
                <w:color w:val="66135A"/>
                <w:sz w:val="24"/>
                <w:szCs w:val="24"/>
              </w:rPr>
              <w:t xml:space="preserve">Section 3: Protective Measures and Other Offenses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 findings of necessity, the court may impose no-contact requirements, restrictions on specified premises or activities, or restrictions on authority or access connected to the offense for a term not exceeding 365 calendar days. An order shall identify its purpose, scope, duration, and any necessary arrangements for lawful family, employment, educational, or administrative contact. It may be varied or ended when no longer necessary.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Restitution, separately proved offenses, prior-conviction enhancements, and abuse-of-authority enhancements remain governed by Title 7, Chapters 1 and 2. The same harm shall not support duplicate recovery. These sentencing ranges do not reduce punishment otherwise authorized for a separately proved rape, sexual assault, coercion, forgery, or other offense.</w:t>
            </w:r>
          </w:p>
          <w:p>
            <w:pPr>
              <w:spacing w:after="140"/>
              <w:jc w:val="left"/>
            </w:pPr>
            <w:r>
              <w:rPr>
                <w:rFonts w:ascii="Public Sans" w:cs="Public Sans" w:eastAsia="Public Sans" w:hAnsi="Public Sans"/>
                <w:b/>
                <w:bCs/>
                <w:i w:val="false"/>
                <w:iCs w:val="false"/>
                <w:strike w:val="false"/>
                <w:color w:val="66135A"/>
                <w:sz w:val="24"/>
                <w:szCs w:val="24"/>
              </w:rPr>
              <w:t xml:space="preserve">Section 4: Sexual Offense Register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Gendarmerie and Police Administration shall maintain a confidential Sexual Offense Register. Following a final conviction under Article 19, 20, 21, or 23, the court may order registration only after notice and an opportunity to be heard, and a reasoned finding supported by evidence that the offender presents a continuing risk of sexual violence, coercion, or exploitation of a person below the age of consent or otherwise incapable of consent.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Conviction alone does not require registration. A limited age-gap violation, noncoercive age fraud, or knowing incest between otherwise consenting persons shall not by itself establish the required risk. No person shall be registered merely for being a victim, having an unknown biological relationship, or participating in conduct permitted by a close-in-age exception.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registration order shall state a term of 30 to 365 calendar days and its commencement date. The court shall review continuing necessity at least every 90 calendar days, and the registered person may seek earlier review after a material change. Extension requires a fresh hearing and finding of continuing risk; registration under the same conviction shall not exceed 730 calendar days in total.</w:t>
            </w:r>
          </w:p>
          <w:p>
            <w:pPr>
              <w:spacing w:after="140"/>
              <w:jc w:val="left"/>
            </w:pPr>
            <w:r>
              <w:rPr>
                <w:rFonts w:ascii="Public Sans" w:cs="Public Sans" w:eastAsia="Public Sans" w:hAnsi="Public Sans"/>
                <w:b/>
                <w:bCs/>
                <w:i w:val="false"/>
                <w:iCs w:val="false"/>
                <w:strike w:val="false"/>
                <w:color w:val="66135A"/>
                <w:sz w:val="24"/>
                <w:szCs w:val="24"/>
              </w:rPr>
              <w:t xml:space="preserve">Section 5: Register Administration and Compliance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Register shall record only the offender’s lawful identifying information, relevant conviction, registration term, and operative protective conditions. Access shall be limited to competent courts and authorized investigative, prosecutorial, and corrections personnel for their lawful functions. The Register shall not be published. Disclosure to another person requires a court order identifying a specific protective necessity. Victim identities shall not be included in a disclosed extract.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registered person shall receive written notice of the order, reporting duties, expiry date, and review rights, and shall report a material change in required identifying or contact information within 7 calendar days. A person who knowingly refuses to comply after notice and a reasonable opportunity to correct the failure may be fined not more than 10,000 SL or imprisoned for not more than 7 calendar days, or both. An innocent error or practical inability is not that offense.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active entry shall be removed when the order expires or is discharged, or when the relevant conviction is quashed. Ordinary judicial records may be retained according to law. The Administration may prescribe secure administrative procedures but shall not add grounds for registration, extend a judicial term, or create additional criminal duties or penalties.</w:t>
            </w:r>
          </w:p>
          <w:p>
            <w:pPr>
              <w:spacing w:after="140"/>
              <w:jc w:val="left"/>
            </w:pPr>
            <w:r>
              <w:rPr>
                <w:rFonts w:ascii="Public Sans" w:cs="Public Sans" w:eastAsia="Public Sans" w:hAnsi="Public Sans"/>
                <w:b/>
                <w:bCs/>
                <w:i w:val="false"/>
                <w:iCs w:val="false"/>
                <w:strike w:val="false"/>
                <w:color w:val="66135A"/>
                <w:sz w:val="24"/>
                <w:szCs w:val="24"/>
              </w:rPr>
              <w:t xml:space="preserve">Section 6: Prospective Application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penalties and registration powers added by this Act apply only to offenses committed after this Act enters into force. Liability and punishment for earlier conduct remain governed by the law applicable when it occurred.</w:t>
            </w:r>
          </w:p>
        </w:tc>
      </w:tr>
    </w:tbl>
    <w:p>
      <w:pPr>
        <w:spacing w:after="90"/>
      </w:pPr>
    </w:p>
    <w:p>
      <w:pPr>
        <w:spacing w:after="140"/>
        <w:jc w:val="center"/>
      </w:pPr>
      <w:r>
        <w:rPr>
          <w:rFonts w:ascii="Public Sans" w:cs="Public Sans" w:eastAsia="Public Sans" w:hAnsi="Public Sans"/>
          <w:b/>
          <w:bCs/>
          <w:i w:val="false"/>
          <w:iCs w:val="false"/>
          <w:strike w:val="false"/>
          <w:color w:val="14171A"/>
          <w:sz w:val="24"/>
          <w:szCs w:val="24"/>
        </w:rPr>
        <w:t xml:space="preserve">END OF BILL</w:t>
      </w:r>
    </w:p>
    <w:p>
      <w:pPr>
        <w:keepNext/>
        <w:spacing w:before="600"/>
        <w:jc w:val="center"/>
      </w:pPr>
      <w:r>
        <w:drawing>
          <wp:inline distT="0" distB="0" distL="0" distR="0">
            <wp:extent cx="2857500" cy="1428750"/>
            <wp:effectExtent t="0" r="0" b="0" l="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F8A139EE-F05A-C90F-6158-1E25B0F235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28-5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28-5 — Consent &amp; Marriage Correction Act of 2026</dc:title>
  <dc:creator>Parliament of the Totemian Empire</dc:creator>
  <cp:lastModifiedBy>Un-named</cp:lastModifiedBy>
  <cp:revision>1</cp:revision>
  <dcterms:created xsi:type="dcterms:W3CDTF">2026-11-01T10:20:17.508Z</dcterms:created>
  <dcterms:modified xsi:type="dcterms:W3CDTF">2026-11-01T10:20:17.508Z</dcterms:modified>
</cp:coreProperties>
</file>

<file path=docProps/custom.xml><?xml version="1.0" encoding="utf-8"?>
<Properties xmlns="http://schemas.openxmlformats.org/officeDocument/2006/custom-properties" xmlns:vt="http://schemas.openxmlformats.org/officeDocument/2006/docPropsVTypes"/>
</file>